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F9A5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color w:val="333333"/>
          <w:sz w:val="44"/>
          <w:szCs w:val="44"/>
          <w:shd w:val="clear" w:color="auto" w:fill="FFFFFF"/>
          <w:lang w:eastAsia="zh-CN"/>
        </w:rPr>
      </w:pPr>
      <w:r>
        <w:rPr>
          <w:rFonts w:hint="eastAsia" w:ascii="方正小标宋简体" w:hAnsi="方正小标宋简体" w:eastAsia="方正小标宋简体" w:cs="方正小标宋简体"/>
          <w:color w:val="333333"/>
          <w:sz w:val="44"/>
          <w:szCs w:val="44"/>
          <w:shd w:val="clear" w:color="auto" w:fill="FFFFFF"/>
          <w:lang w:val="en-US" w:eastAsia="zh-CN"/>
        </w:rPr>
        <w:t>枣庄</w:t>
      </w:r>
      <w:r>
        <w:rPr>
          <w:rFonts w:hint="eastAsia" w:ascii="方正小标宋简体" w:hAnsi="方正小标宋简体" w:eastAsia="方正小标宋简体" w:cs="方正小标宋简体"/>
          <w:color w:val="333333"/>
          <w:sz w:val="44"/>
          <w:szCs w:val="44"/>
          <w:shd w:val="clear" w:color="auto" w:fill="FFFFFF"/>
        </w:rPr>
        <w:t>市</w:t>
      </w:r>
      <w:r>
        <w:rPr>
          <w:rFonts w:hint="eastAsia" w:ascii="方正小标宋简体" w:hAnsi="方正小标宋简体" w:eastAsia="方正小标宋简体" w:cs="方正小标宋简体"/>
          <w:color w:val="333333"/>
          <w:sz w:val="44"/>
          <w:szCs w:val="44"/>
          <w:shd w:val="clear" w:color="auto" w:fill="FFFFFF"/>
          <w:lang w:eastAsia="zh-CN"/>
        </w:rPr>
        <w:t>文化和旅游局</w:t>
      </w:r>
    </w:p>
    <w:p w14:paraId="7969FCF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center"/>
        <w:textAlignment w:val="auto"/>
        <w:rPr>
          <w:rFonts w:ascii="仿宋_GB2312" w:hAnsi="微软雅黑" w:eastAsia="仿宋_GB2312" w:cs="仿宋_GB2312"/>
          <w:i w:val="0"/>
          <w:iCs w:val="0"/>
          <w:caps w:val="0"/>
          <w:color w:val="333333"/>
          <w:spacing w:val="0"/>
          <w:sz w:val="31"/>
          <w:szCs w:val="31"/>
          <w:shd w:val="clear" w:fill="FFFFFF"/>
        </w:rPr>
      </w:pPr>
      <w:r>
        <w:rPr>
          <w:rFonts w:hint="eastAsia" w:ascii="方正小标宋简体" w:hAnsi="方正小标宋简体" w:eastAsia="方正小标宋简体" w:cs="方正小标宋简体"/>
          <w:color w:val="333333"/>
          <w:sz w:val="44"/>
          <w:szCs w:val="44"/>
          <w:shd w:val="clear" w:color="auto" w:fill="FFFFFF"/>
        </w:rPr>
        <w:t>20</w:t>
      </w:r>
      <w:r>
        <w:rPr>
          <w:rFonts w:hint="eastAsia" w:ascii="方正小标宋简体" w:hAnsi="方正小标宋简体" w:eastAsia="方正小标宋简体" w:cs="方正小标宋简体"/>
          <w:color w:val="333333"/>
          <w:sz w:val="44"/>
          <w:szCs w:val="44"/>
          <w:shd w:val="clear" w:color="auto" w:fill="FFFFFF"/>
          <w:lang w:val="en-US" w:eastAsia="zh-CN"/>
        </w:rPr>
        <w:t>25</w:t>
      </w:r>
      <w:r>
        <w:rPr>
          <w:rFonts w:hint="eastAsia" w:ascii="方正小标宋简体" w:hAnsi="方正小标宋简体" w:eastAsia="方正小标宋简体" w:cs="方正小标宋简体"/>
          <w:color w:val="333333"/>
          <w:sz w:val="44"/>
          <w:szCs w:val="44"/>
          <w:shd w:val="clear" w:color="auto" w:fill="FFFFFF"/>
        </w:rPr>
        <w:t>年政府信息公开工作年度报告</w:t>
      </w:r>
    </w:p>
    <w:p w14:paraId="56F804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ascii="黑体" w:hAnsi="宋体" w:eastAsia="黑体" w:cs="黑体"/>
          <w:i w:val="0"/>
          <w:iCs w:val="0"/>
          <w:caps w:val="0"/>
          <w:color w:val="333333"/>
          <w:spacing w:val="0"/>
          <w:sz w:val="31"/>
          <w:szCs w:val="31"/>
          <w:shd w:val="clear" w:fill="FFFFFF"/>
        </w:rPr>
      </w:pPr>
    </w:p>
    <w:p w14:paraId="1FFB6A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报告根据《中华人民共和国政府信息公开条例》（以下简称《条例》）要求，结合2025年枣庄市文化和旅游局政府信息公开工作实际编制而成。内容包括总体情况、主动公开政府信息情况、收到和处理政府信息公开申请情况、政府信息公开行政复议、行政诉讼情况、存在的主要问题及改进情况、其他需要报告的事项，以及相关指标统计附表、附图等。本年度报告中所列数据统计期限从2025年1月1日到12月31日止。本年度报告电子版可从枣庄市人民政府门户网站（http://www.zaozhuang.gov.cn/）下载。如对本年度报告有疑问，请与枣庄市文化和旅游局联系（电话:0632—3099779，电子邮箱:zzwljbgs@zz.shandong.cn）。</w:t>
      </w:r>
    </w:p>
    <w:p w14:paraId="42D257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微软雅黑" w:hAnsi="微软雅黑" w:eastAsia="黑体" w:cs="微软雅黑"/>
          <w:i w:val="0"/>
          <w:iCs w:val="0"/>
          <w:caps w:val="0"/>
          <w:color w:val="333333"/>
          <w:spacing w:val="0"/>
          <w:sz w:val="24"/>
          <w:szCs w:val="24"/>
          <w:lang w:eastAsia="zh-CN"/>
        </w:rPr>
      </w:pPr>
      <w:r>
        <w:rPr>
          <w:rFonts w:ascii="黑体" w:hAnsi="宋体" w:eastAsia="黑体" w:cs="黑体"/>
          <w:i w:val="0"/>
          <w:iCs w:val="0"/>
          <w:caps w:val="0"/>
          <w:color w:val="333333"/>
          <w:spacing w:val="0"/>
          <w:sz w:val="31"/>
          <w:szCs w:val="31"/>
          <w:shd w:val="clear" w:fill="FFFFFF"/>
        </w:rPr>
        <w:t>一、</w:t>
      </w:r>
      <w:r>
        <w:rPr>
          <w:rFonts w:hint="eastAsia" w:ascii="黑体" w:hAnsi="宋体" w:eastAsia="黑体" w:cs="黑体"/>
          <w:i w:val="0"/>
          <w:iCs w:val="0"/>
          <w:caps w:val="0"/>
          <w:color w:val="333333"/>
          <w:spacing w:val="0"/>
          <w:sz w:val="31"/>
          <w:szCs w:val="31"/>
          <w:shd w:val="clear" w:fill="FFFFFF"/>
          <w:lang w:eastAsia="zh-CN"/>
        </w:rPr>
        <w:t>总体情况</w:t>
      </w:r>
    </w:p>
    <w:p w14:paraId="7C3017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w:t>
      </w: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lang w:val="en-US" w:eastAsia="zh-CN" w:bidi="ar-SA"/>
        </w:rPr>
        <w:t>枣庄市文化和旅游局深入学习贯彻习近平新时代中国特色社会主义思想和党的二十大精神，按照市委、市政府全面推进政务公开的部署要求，结合文旅工作实际</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持续加强各类政务信息公开，依法及时办理政府信息公开申请，持续提升政务公开工作标准化、规范化和信息化水平</w:t>
      </w:r>
      <w:r>
        <w:rPr>
          <w:rFonts w:hint="default" w:ascii="仿宋_GB2312" w:hAnsi="仿宋_GB2312" w:eastAsia="仿宋_GB2312" w:cs="仿宋_GB2312"/>
          <w:kern w:val="2"/>
          <w:sz w:val="32"/>
          <w:szCs w:val="32"/>
          <w:lang w:val="en-US" w:eastAsia="zh-CN" w:bidi="ar-SA"/>
        </w:rPr>
        <w:t>。</w:t>
      </w:r>
    </w:p>
    <w:p w14:paraId="5C93A9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黑体" w:hAnsi="黑体" w:eastAsia="黑体" w:cs="黑体"/>
          <w:i w:val="0"/>
          <w:iCs w:val="0"/>
          <w:caps w:val="0"/>
          <w:color w:val="333333"/>
          <w:spacing w:val="0"/>
          <w:sz w:val="32"/>
          <w:szCs w:val="32"/>
          <w:shd w:val="clear" w:fill="FFFFFF"/>
          <w:lang w:eastAsia="zh-CN"/>
        </w:rPr>
      </w:pPr>
      <w:r>
        <w:rPr>
          <w:rFonts w:hint="eastAsia" w:ascii="黑体" w:hAnsi="黑体" w:eastAsia="黑体" w:cs="黑体"/>
          <w:i w:val="0"/>
          <w:iCs w:val="0"/>
          <w:caps w:val="0"/>
          <w:color w:val="333333"/>
          <w:spacing w:val="0"/>
          <w:sz w:val="32"/>
          <w:szCs w:val="32"/>
          <w:shd w:val="clear" w:fill="FFFFFF"/>
          <w:lang w:eastAsia="zh-CN"/>
        </w:rPr>
        <w:t>（一）主动公开情况</w:t>
      </w:r>
    </w:p>
    <w:p w14:paraId="273FC4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kern w:val="2"/>
          <w:sz w:val="32"/>
          <w:szCs w:val="32"/>
          <w:lang w:val="en-US" w:eastAsia="zh-CN" w:bidi="ar-SA"/>
        </w:rPr>
        <w:t>2025年，我局门户网站公开信息957篇，</w:t>
      </w:r>
      <w:r>
        <w:rPr>
          <w:rFonts w:hint="default" w:ascii="仿宋_GB2312" w:hAnsi="仿宋_GB2312" w:eastAsia="仿宋_GB2312" w:cs="仿宋_GB2312"/>
          <w:kern w:val="2"/>
          <w:sz w:val="32"/>
          <w:szCs w:val="32"/>
          <w:lang w:val="en-US" w:eastAsia="zh-CN" w:bidi="ar-SA"/>
        </w:rPr>
        <w:t>通过枣庄市政府信息公开平台主动公开信息</w:t>
      </w:r>
      <w:r>
        <w:rPr>
          <w:rFonts w:hint="eastAsia" w:ascii="仿宋_GB2312" w:hAnsi="仿宋_GB2312" w:eastAsia="仿宋_GB2312" w:cs="仿宋_GB2312"/>
          <w:color w:val="auto"/>
          <w:kern w:val="2"/>
          <w:sz w:val="32"/>
          <w:szCs w:val="32"/>
          <w:lang w:val="en-US" w:eastAsia="zh-CN" w:bidi="ar-SA"/>
        </w:rPr>
        <w:t>129</w:t>
      </w:r>
      <w:r>
        <w:rPr>
          <w:rFonts w:hint="default" w:ascii="仿宋_GB2312" w:hAnsi="仿宋_GB2312" w:eastAsia="仿宋_GB2312" w:cs="仿宋_GB2312"/>
          <w:kern w:val="2"/>
          <w:sz w:val="32"/>
          <w:szCs w:val="32"/>
          <w:lang w:val="en-US" w:eastAsia="zh-CN" w:bidi="ar-SA"/>
        </w:rPr>
        <w:t>条</w:t>
      </w:r>
      <w:r>
        <w:rPr>
          <w:rFonts w:hint="eastAsia" w:ascii="仿宋_GB2312" w:hAnsi="仿宋_GB2312" w:eastAsia="仿宋_GB2312" w:cs="仿宋_GB2312"/>
          <w:kern w:val="2"/>
          <w:sz w:val="32"/>
          <w:szCs w:val="32"/>
          <w:lang w:val="en-US" w:eastAsia="zh-CN" w:bidi="ar-SA"/>
        </w:rPr>
        <w:t>。2025年，我局着力扩大政务信息公开传播渠道，“文旅枣庄”新媒体矩阵共发布信</w:t>
      </w:r>
      <w:r>
        <w:rPr>
          <w:rFonts w:hint="eastAsia" w:ascii="仿宋_GB2312" w:hAnsi="仿宋_GB2312" w:eastAsia="仿宋_GB2312" w:cs="仿宋_GB2312"/>
          <w:color w:val="auto"/>
          <w:kern w:val="2"/>
          <w:sz w:val="32"/>
          <w:szCs w:val="32"/>
          <w:lang w:val="en-US" w:eastAsia="zh-CN" w:bidi="ar-SA"/>
        </w:rPr>
        <w:t>息4200余条，阅读量（播放量）达1028万次。其中，“文旅枣庄”微信公众号发布信息1186篇，阅读量71.84万人次；“文旅枣庄”新浪微博发布信息843篇，阅读量192.4万人次；“文旅枣庄”抖音号发布视频1186条，播放量71.84万人次</w:t>
      </w:r>
      <w:r>
        <w:rPr>
          <w:rFonts w:hint="default" w:ascii="仿宋_GB2312" w:hAnsi="仿宋_GB2312" w:eastAsia="仿宋_GB2312" w:cs="仿宋_GB2312"/>
          <w:color w:val="auto"/>
          <w:kern w:val="2"/>
          <w:sz w:val="32"/>
          <w:szCs w:val="32"/>
          <w:lang w:val="en-US" w:eastAsia="zh-CN" w:bidi="ar-SA"/>
        </w:rPr>
        <w:t>。全年召开新闻发布会</w:t>
      </w:r>
      <w:r>
        <w:rPr>
          <w:rFonts w:hint="eastAsia" w:ascii="仿宋_GB2312" w:hAnsi="仿宋_GB2312" w:eastAsia="仿宋_GB2312" w:cs="仿宋_GB2312"/>
          <w:color w:val="auto"/>
          <w:kern w:val="2"/>
          <w:sz w:val="32"/>
          <w:szCs w:val="32"/>
          <w:lang w:val="en-US" w:eastAsia="zh-CN" w:bidi="ar-SA"/>
        </w:rPr>
        <w:t>5</w:t>
      </w:r>
      <w:r>
        <w:rPr>
          <w:rFonts w:hint="default" w:ascii="仿宋_GB2312" w:hAnsi="仿宋_GB2312" w:eastAsia="仿宋_GB2312" w:cs="仿宋_GB2312"/>
          <w:color w:val="auto"/>
          <w:kern w:val="2"/>
          <w:sz w:val="32"/>
          <w:szCs w:val="32"/>
          <w:lang w:val="en-US" w:eastAsia="zh-CN" w:bidi="ar-SA"/>
        </w:rPr>
        <w:t>次，围绕</w:t>
      </w:r>
      <w:r>
        <w:rPr>
          <w:rFonts w:hint="eastAsia" w:ascii="仿宋_GB2312" w:hAnsi="仿宋_GB2312" w:eastAsia="仿宋_GB2312" w:cs="仿宋_GB2312"/>
          <w:color w:val="auto"/>
          <w:kern w:val="2"/>
          <w:sz w:val="32"/>
          <w:szCs w:val="32"/>
          <w:lang w:val="en-US" w:eastAsia="zh-CN" w:bidi="ar-SA"/>
        </w:rPr>
        <w:t>文旅市场宣传营销</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公共文化服务</w:t>
      </w:r>
      <w:r>
        <w:rPr>
          <w:rFonts w:hint="default" w:ascii="仿宋_GB2312" w:hAnsi="仿宋_GB2312" w:eastAsia="仿宋_GB2312" w:cs="仿宋_GB2312"/>
          <w:kern w:val="2"/>
          <w:sz w:val="32"/>
          <w:szCs w:val="32"/>
          <w:lang w:val="en-US" w:eastAsia="zh-CN" w:bidi="ar-SA"/>
        </w:rPr>
        <w:t>等重点工作</w:t>
      </w:r>
      <w:r>
        <w:rPr>
          <w:rFonts w:hint="eastAsia" w:ascii="仿宋_GB2312" w:hAnsi="仿宋_GB2312" w:eastAsia="仿宋_GB2312" w:cs="仿宋_GB2312"/>
          <w:kern w:val="2"/>
          <w:sz w:val="32"/>
          <w:szCs w:val="32"/>
          <w:lang w:val="en-US" w:eastAsia="zh-CN" w:bidi="ar-SA"/>
        </w:rPr>
        <w:t>和</w:t>
      </w:r>
      <w:r>
        <w:rPr>
          <w:rFonts w:hint="default" w:ascii="仿宋_GB2312" w:hAnsi="仿宋_GB2312" w:eastAsia="仿宋_GB2312" w:cs="仿宋_GB2312"/>
          <w:kern w:val="2"/>
          <w:sz w:val="32"/>
          <w:szCs w:val="32"/>
          <w:lang w:val="en-US" w:eastAsia="zh-CN" w:bidi="ar-SA"/>
        </w:rPr>
        <w:t>群众关注的</w:t>
      </w:r>
      <w:r>
        <w:rPr>
          <w:rFonts w:hint="eastAsia" w:ascii="仿宋_GB2312" w:hAnsi="仿宋_GB2312" w:eastAsia="仿宋_GB2312" w:cs="仿宋_GB2312"/>
          <w:kern w:val="2"/>
          <w:sz w:val="32"/>
          <w:szCs w:val="32"/>
          <w:lang w:val="en-US" w:eastAsia="zh-CN" w:bidi="ar-SA"/>
        </w:rPr>
        <w:t>文化旅游</w:t>
      </w:r>
      <w:r>
        <w:rPr>
          <w:rFonts w:hint="default" w:ascii="仿宋_GB2312" w:hAnsi="仿宋_GB2312" w:eastAsia="仿宋_GB2312" w:cs="仿宋_GB2312"/>
          <w:kern w:val="2"/>
          <w:sz w:val="32"/>
          <w:szCs w:val="32"/>
          <w:lang w:val="en-US" w:eastAsia="zh-CN" w:bidi="ar-SA"/>
        </w:rPr>
        <w:t>发展中的热点问题进行解读。</w:t>
      </w:r>
      <w:r>
        <w:rPr>
          <w:rFonts w:hint="eastAsia" w:ascii="仿宋_GB2312" w:hAnsi="仿宋_GB2312" w:eastAsia="仿宋_GB2312" w:cs="仿宋_GB2312"/>
          <w:kern w:val="2"/>
          <w:sz w:val="32"/>
          <w:szCs w:val="32"/>
          <w:lang w:val="en-US" w:eastAsia="zh-CN" w:bidi="ar-SA"/>
        </w:rPr>
        <w:t>办理</w:t>
      </w:r>
      <w:r>
        <w:rPr>
          <w:rFonts w:hint="default" w:ascii="仿宋_GB2312" w:hAnsi="仿宋_GB2312" w:eastAsia="仿宋_GB2312" w:cs="仿宋_GB2312"/>
          <w:kern w:val="2"/>
          <w:sz w:val="32"/>
          <w:szCs w:val="32"/>
          <w:lang w:val="en-US" w:eastAsia="zh-CN" w:bidi="ar-SA"/>
        </w:rPr>
        <w:t>“枣解决·枣满意”“市长热线”群众诉求</w:t>
      </w:r>
      <w:r>
        <w:rPr>
          <w:rFonts w:hint="eastAsia" w:ascii="仿宋_GB2312" w:hAnsi="仿宋_GB2312" w:eastAsia="仿宋_GB2312" w:cs="仿宋_GB2312"/>
          <w:kern w:val="2"/>
          <w:sz w:val="32"/>
          <w:szCs w:val="32"/>
          <w:lang w:val="en-US" w:eastAsia="zh-CN" w:bidi="ar-SA"/>
        </w:rPr>
        <w:t>97件</w:t>
      </w:r>
      <w:r>
        <w:rPr>
          <w:rFonts w:hint="default" w:ascii="仿宋_GB2312" w:hAnsi="仿宋_GB2312" w:eastAsia="仿宋_GB2312" w:cs="仿宋_GB2312"/>
          <w:kern w:val="2"/>
          <w:sz w:val="32"/>
          <w:szCs w:val="32"/>
          <w:lang w:val="en-US" w:eastAsia="zh-CN" w:bidi="ar-SA"/>
        </w:rPr>
        <w:t>，回</w:t>
      </w:r>
      <w:r>
        <w:rPr>
          <w:rFonts w:hint="eastAsia" w:ascii="仿宋_GB2312" w:hAnsi="仿宋_GB2312" w:eastAsia="仿宋_GB2312" w:cs="仿宋_GB2312"/>
          <w:kern w:val="2"/>
          <w:sz w:val="32"/>
          <w:szCs w:val="32"/>
          <w:lang w:val="en-US" w:eastAsia="zh-CN" w:bidi="ar-SA"/>
        </w:rPr>
        <w:t>复</w:t>
      </w:r>
      <w:bookmarkStart w:id="10" w:name="_GoBack"/>
      <w:bookmarkEnd w:id="10"/>
      <w:r>
        <w:rPr>
          <w:rFonts w:hint="default" w:ascii="仿宋_GB2312" w:hAnsi="仿宋_GB2312" w:eastAsia="仿宋_GB2312" w:cs="仿宋_GB2312"/>
          <w:kern w:val="2"/>
          <w:sz w:val="32"/>
          <w:szCs w:val="32"/>
          <w:lang w:val="en-US" w:eastAsia="zh-CN" w:bidi="ar-SA"/>
        </w:rPr>
        <w:t>群众</w:t>
      </w:r>
      <w:r>
        <w:rPr>
          <w:rFonts w:hint="eastAsia" w:ascii="仿宋_GB2312" w:hAnsi="仿宋_GB2312" w:eastAsia="仿宋_GB2312" w:cs="仿宋_GB2312"/>
          <w:kern w:val="2"/>
          <w:sz w:val="32"/>
          <w:szCs w:val="32"/>
          <w:lang w:val="en-US" w:eastAsia="zh-CN" w:bidi="ar-SA"/>
        </w:rPr>
        <w:t>网站留言35条</w:t>
      </w:r>
      <w:r>
        <w:rPr>
          <w:rFonts w:hint="default" w:ascii="仿宋_GB2312" w:hAnsi="仿宋_GB2312" w:eastAsia="仿宋_GB2312" w:cs="仿宋_GB2312"/>
          <w:kern w:val="2"/>
          <w:sz w:val="32"/>
          <w:szCs w:val="32"/>
          <w:lang w:val="en-US" w:eastAsia="zh-CN" w:bidi="ar-SA"/>
        </w:rPr>
        <w:t>，有效回应群众关切。</w:t>
      </w:r>
    </w:p>
    <w:p w14:paraId="1F23EED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eastAsia="zh-CN"/>
        </w:rPr>
      </w:pPr>
      <w:r>
        <w:rPr>
          <w:rFonts w:hint="eastAsia" w:ascii="楷体" w:hAnsi="楷体" w:eastAsia="楷体" w:cs="宋体"/>
          <w:color w:val="333333"/>
          <w:sz w:val="32"/>
          <w:szCs w:val="32"/>
          <w:shd w:val="clear" w:color="auto" w:fill="FFFFFF"/>
          <w:lang w:eastAsia="zh-CN"/>
        </w:rPr>
        <w:t>（二）依申请公开情况。</w:t>
      </w:r>
    </w:p>
    <w:p w14:paraId="4482F0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依申请公开标准化规范化建设，进一步完善依申请公开工作登记管理、协助调查、答复、归档等各个环节程序标准。2025年，市文化和旅游局共办理3件政府信息公开申请事项，相较2024年增加了1件，均按要求办理完成。2025年未有因信息公开工作被申请行政复议和行政诉讼情况。</w:t>
      </w:r>
    </w:p>
    <w:p w14:paraId="2357771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rPr>
      </w:pPr>
      <w:r>
        <w:rPr>
          <w:rFonts w:hint="eastAsia" w:ascii="楷体" w:hAnsi="楷体" w:eastAsia="楷体" w:cs="宋体"/>
          <w:color w:val="333333"/>
          <w:sz w:val="32"/>
          <w:szCs w:val="32"/>
          <w:shd w:val="clear" w:color="auto" w:fill="FFFFFF"/>
          <w:lang w:eastAsia="zh-CN"/>
        </w:rPr>
        <w:t>（三）</w:t>
      </w:r>
      <w:r>
        <w:rPr>
          <w:rFonts w:hint="eastAsia" w:ascii="楷体" w:hAnsi="楷体" w:eastAsia="楷体" w:cs="宋体"/>
          <w:color w:val="333333"/>
          <w:sz w:val="32"/>
          <w:szCs w:val="32"/>
          <w:shd w:val="clear" w:color="auto" w:fill="FFFFFF"/>
        </w:rPr>
        <w:t>政府信息管理情况。</w:t>
      </w:r>
    </w:p>
    <w:p w14:paraId="5780F0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市文化和旅游局严格落实政府信息公开属性源头审查、保密审查、发布审查等工作机制，切实做到政务信息更加高效规范管理。认真落实《中华人民共和国政府信息公开条例》，完善主动公开目录。开展规范性文件清理和登记，在市政府网站“政策文件库”专栏分类集中发布市文化和旅游局规范性文件和部门政策文件，2025年发布规范性文件0件，自然失效0件。</w:t>
      </w:r>
    </w:p>
    <w:p w14:paraId="3D9FB3B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rPr>
      </w:pPr>
      <w:r>
        <w:rPr>
          <w:rFonts w:hint="eastAsia" w:ascii="楷体" w:hAnsi="楷体" w:eastAsia="楷体" w:cs="宋体"/>
          <w:color w:val="333333"/>
          <w:sz w:val="32"/>
          <w:szCs w:val="32"/>
          <w:shd w:val="clear" w:color="auto" w:fill="FFFFFF"/>
          <w:lang w:eastAsia="zh-CN"/>
        </w:rPr>
        <w:t>（四）</w:t>
      </w:r>
      <w:r>
        <w:rPr>
          <w:rFonts w:hint="eastAsia" w:ascii="楷体" w:hAnsi="楷体" w:eastAsia="楷体" w:cs="宋体"/>
          <w:color w:val="333333"/>
          <w:sz w:val="32"/>
          <w:szCs w:val="32"/>
          <w:shd w:val="clear" w:color="auto" w:fill="FFFFFF"/>
        </w:rPr>
        <w:t>政府信息公开平台建设情况。</w:t>
      </w:r>
    </w:p>
    <w:p w14:paraId="6A524C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 w:hAnsi="楷体" w:eastAsia="楷体" w:cs="宋体"/>
          <w:color w:val="333333"/>
          <w:sz w:val="32"/>
          <w:szCs w:val="32"/>
          <w:shd w:val="clear" w:color="auto" w:fill="FFFFFF"/>
          <w:lang w:val="en-US" w:eastAsia="zh-CN"/>
        </w:rPr>
      </w:pPr>
      <w:r>
        <w:rPr>
          <w:rFonts w:hint="eastAsia" w:ascii="仿宋_GB2312" w:hAnsi="仿宋_GB2312" w:eastAsia="仿宋_GB2312" w:cs="仿宋_GB2312"/>
          <w:kern w:val="2"/>
          <w:sz w:val="32"/>
          <w:szCs w:val="32"/>
          <w:lang w:val="en-US" w:eastAsia="zh-CN" w:bidi="ar-SA"/>
        </w:rPr>
        <w:t>严格按照市政府办公室关于政府网站和政务新媒体建设工作要求，不断加强政府网站建设，合理设置门户网站各栏目版块，做好政务网站重点领域、政策解读、公众参与、建议提案办理、会议公开等专栏建设和内容维护，持续优化门户网站功能。进一步加强新媒体运营日常管理，明确新媒体运营管理职责，强化政务新媒体发布、传播、互动、引导等功能，加强信息发布审核，确保市文化和旅游局各新媒体平台账号发布内容积极健康，贴合文化和旅游行业发展需求，传播好枣庄文旅形象，服务人民文化和旅游生活。</w:t>
      </w:r>
    </w:p>
    <w:p w14:paraId="3784CC7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eastAsia="zh-CN"/>
        </w:rPr>
      </w:pPr>
      <w:r>
        <w:rPr>
          <w:rFonts w:hint="eastAsia" w:ascii="楷体" w:hAnsi="楷体" w:eastAsia="楷体" w:cs="宋体"/>
          <w:color w:val="333333"/>
          <w:sz w:val="32"/>
          <w:szCs w:val="32"/>
          <w:shd w:val="clear" w:color="auto" w:fill="FFFFFF"/>
          <w:lang w:eastAsia="zh-CN"/>
        </w:rPr>
        <w:t>（五）</w:t>
      </w:r>
      <w:r>
        <w:rPr>
          <w:rFonts w:hint="eastAsia" w:ascii="楷体" w:hAnsi="楷体" w:eastAsia="楷体" w:cs="宋体"/>
          <w:color w:val="333333"/>
          <w:sz w:val="32"/>
          <w:szCs w:val="32"/>
          <w:shd w:val="clear" w:color="auto" w:fill="FFFFFF"/>
        </w:rPr>
        <w:t>监督保障情况。</w:t>
      </w:r>
    </w:p>
    <w:p w14:paraId="574DA8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完善工作机构，及时调整政务公开领导小组成员，定期召开会议研究部署政府信息公开工作</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政务公开领导小组办公室设在</w:t>
      </w:r>
      <w:r>
        <w:rPr>
          <w:rFonts w:hint="eastAsia" w:ascii="仿宋_GB2312" w:hAnsi="仿宋_GB2312" w:eastAsia="仿宋_GB2312" w:cs="仿宋_GB2312"/>
          <w:kern w:val="2"/>
          <w:sz w:val="32"/>
          <w:szCs w:val="32"/>
          <w:lang w:val="en-US" w:eastAsia="zh-CN" w:bidi="ar-SA"/>
        </w:rPr>
        <w:t>局</w:t>
      </w:r>
      <w:r>
        <w:rPr>
          <w:rFonts w:hint="default" w:ascii="仿宋_GB2312" w:hAnsi="仿宋_GB2312" w:eastAsia="仿宋_GB2312" w:cs="仿宋_GB2312"/>
          <w:kern w:val="2"/>
          <w:sz w:val="32"/>
          <w:szCs w:val="32"/>
          <w:lang w:val="en-US" w:eastAsia="zh-CN" w:bidi="ar-SA"/>
        </w:rPr>
        <w:t>办公室，负责具体开展政务公开日常工作。强化培训指导</w:t>
      </w:r>
      <w:r>
        <w:rPr>
          <w:rFonts w:hint="eastAsia" w:ascii="仿宋_GB2312" w:hAnsi="仿宋_GB2312" w:eastAsia="仿宋_GB2312" w:cs="仿宋_GB2312"/>
          <w:kern w:val="2"/>
          <w:sz w:val="32"/>
          <w:szCs w:val="32"/>
          <w:lang w:val="en-US" w:eastAsia="zh-CN" w:bidi="ar-SA"/>
        </w:rPr>
        <w:t>，积极参加省、市政务公开培训，</w:t>
      </w:r>
      <w:r>
        <w:rPr>
          <w:rFonts w:hint="default" w:ascii="仿宋_GB2312" w:hAnsi="仿宋_GB2312" w:eastAsia="仿宋_GB2312" w:cs="仿宋_GB2312"/>
          <w:kern w:val="2"/>
          <w:sz w:val="32"/>
          <w:szCs w:val="32"/>
          <w:lang w:val="en-US" w:eastAsia="zh-CN" w:bidi="ar-SA"/>
        </w:rPr>
        <w:t>组织召开</w:t>
      </w:r>
      <w:r>
        <w:rPr>
          <w:rFonts w:hint="eastAsia" w:ascii="仿宋_GB2312" w:hAnsi="仿宋_GB2312" w:eastAsia="仿宋_GB2312" w:cs="仿宋_GB2312"/>
          <w:kern w:val="2"/>
          <w:sz w:val="32"/>
          <w:szCs w:val="32"/>
          <w:lang w:val="en-US" w:eastAsia="zh-CN" w:bidi="ar-SA"/>
        </w:rPr>
        <w:t>局</w:t>
      </w:r>
      <w:r>
        <w:rPr>
          <w:rFonts w:hint="default" w:ascii="仿宋_GB2312" w:hAnsi="仿宋_GB2312" w:eastAsia="仿宋_GB2312" w:cs="仿宋_GB2312"/>
          <w:kern w:val="2"/>
          <w:sz w:val="32"/>
          <w:szCs w:val="32"/>
          <w:lang w:val="en-US" w:eastAsia="zh-CN" w:bidi="ar-SA"/>
        </w:rPr>
        <w:t>政务公开</w:t>
      </w:r>
      <w:r>
        <w:rPr>
          <w:rFonts w:hint="eastAsia" w:ascii="仿宋_GB2312" w:hAnsi="仿宋_GB2312" w:eastAsia="仿宋_GB2312" w:cs="仿宋_GB2312"/>
          <w:kern w:val="2"/>
          <w:sz w:val="32"/>
          <w:szCs w:val="32"/>
          <w:lang w:val="en-US" w:eastAsia="zh-CN" w:bidi="ar-SA"/>
        </w:rPr>
        <w:t>工作</w:t>
      </w:r>
      <w:r>
        <w:rPr>
          <w:rFonts w:hint="default" w:ascii="仿宋_GB2312" w:hAnsi="仿宋_GB2312" w:eastAsia="仿宋_GB2312" w:cs="仿宋_GB2312"/>
          <w:kern w:val="2"/>
          <w:sz w:val="32"/>
          <w:szCs w:val="32"/>
          <w:lang w:val="en-US" w:eastAsia="zh-CN" w:bidi="ar-SA"/>
        </w:rPr>
        <w:t>培训，提高全</w:t>
      </w:r>
      <w:r>
        <w:rPr>
          <w:rFonts w:hint="eastAsia" w:ascii="仿宋_GB2312" w:hAnsi="仿宋_GB2312" w:eastAsia="仿宋_GB2312" w:cs="仿宋_GB2312"/>
          <w:kern w:val="2"/>
          <w:sz w:val="32"/>
          <w:szCs w:val="32"/>
          <w:lang w:val="en-US" w:eastAsia="zh-CN" w:bidi="ar-SA"/>
        </w:rPr>
        <w:t>局</w:t>
      </w:r>
      <w:r>
        <w:rPr>
          <w:rFonts w:hint="default" w:ascii="仿宋_GB2312" w:hAnsi="仿宋_GB2312" w:eastAsia="仿宋_GB2312" w:cs="仿宋_GB2312"/>
          <w:kern w:val="2"/>
          <w:sz w:val="32"/>
          <w:szCs w:val="32"/>
          <w:lang w:val="en-US" w:eastAsia="zh-CN" w:bidi="ar-SA"/>
        </w:rPr>
        <w:t>政府信息公开工作同志业务水平。</w:t>
      </w:r>
    </w:p>
    <w:p w14:paraId="10FA841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jc w:val="both"/>
        <w:textAlignment w:val="auto"/>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二、主动公开政府信息情况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3B4B0AF7">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C75BD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387EE4B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C4705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95785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4D46A6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6CD55A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5BFAB6E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B1195C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B6126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82AE3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4DFF0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6127F2A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D5DB0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1549B3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6D4538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0B7D8E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34EB181F">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168B6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14:paraId="2A01C6E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A7B54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4974E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7B2B19C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29CB8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45533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highlight w:val="none"/>
                <w:lang w:val="en-US" w:eastAsia="zh-CN"/>
              </w:rPr>
              <w:t>114</w:t>
            </w:r>
          </w:p>
        </w:tc>
      </w:tr>
      <w:tr w14:paraId="48F7FBC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BD788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14:paraId="6A9188C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ECA92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597D5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372B79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1A9D44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97C24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w:t>
            </w:r>
          </w:p>
        </w:tc>
      </w:tr>
      <w:tr w14:paraId="3C0D8D6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1FA89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00168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00F270F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CAA93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14:paraId="2F37711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9B5E6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5FCA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14:paraId="42575AE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E9D28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D7EAD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r>
              <w:rPr>
                <w:rFonts w:hint="default" w:ascii="仿宋_GB2312" w:hAnsi="Calibri" w:eastAsia="仿宋_GB2312" w:cs="Calibri"/>
                <w:color w:val="auto"/>
                <w:kern w:val="0"/>
                <w:szCs w:val="21"/>
                <w:lang w:val="en-US" w:eastAsia="zh-CN"/>
              </w:rPr>
              <w:t>.32</w:t>
            </w:r>
          </w:p>
        </w:tc>
      </w:tr>
    </w:tbl>
    <w:p w14:paraId="7E7E2FBC">
      <w:pPr>
        <w:pStyle w:val="3"/>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80" w:lineRule="exact"/>
        <w:ind w:left="-199" w:leftChars="-95" w:firstLine="618"/>
        <w:jc w:val="both"/>
        <w:textAlignment w:val="auto"/>
        <w:rPr>
          <w:rFonts w:hint="eastAsia" w:ascii="黑体" w:hAnsi="黑体" w:eastAsia="黑体" w:cs="黑体"/>
          <w:b w:val="0"/>
          <w:bCs/>
          <w:color w:val="333333"/>
          <w:sz w:val="32"/>
          <w:szCs w:val="32"/>
          <w:shd w:val="clear" w:color="auto" w:fill="FFFFFF"/>
        </w:rPr>
      </w:pPr>
      <w:r>
        <w:rPr>
          <w:rFonts w:hint="eastAsia" w:ascii="黑体" w:hAnsi="黑体" w:eastAsia="黑体" w:cs="黑体"/>
          <w:b w:val="0"/>
          <w:bCs/>
          <w:color w:val="333333"/>
          <w:sz w:val="32"/>
          <w:szCs w:val="32"/>
          <w:shd w:val="clear" w:color="auto" w:fill="FFFFFF"/>
        </w:rPr>
        <w:t>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31509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2414215B">
            <w:pPr>
              <w:keepNext w:val="0"/>
              <w:keepLines w:val="0"/>
              <w:pageBreakBefore w:val="0"/>
              <w:widowControl/>
              <w:kinsoku/>
              <w:overflowPunct/>
              <w:topLinePunct w:val="0"/>
              <w:autoSpaceDE/>
              <w:autoSpaceDN/>
              <w:bidi w:val="0"/>
              <w:adjustRightInd/>
              <w:snapToGrid/>
              <w:spacing w:line="580" w:lineRule="exact"/>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254BF750">
            <w:pPr>
              <w:keepNext w:val="0"/>
              <w:keepLines w:val="0"/>
              <w:pageBreakBefore w:val="0"/>
              <w:widowControl/>
              <w:kinsoku/>
              <w:overflowPunct/>
              <w:topLinePunct w:val="0"/>
              <w:autoSpaceDE/>
              <w:autoSpaceDN/>
              <w:bidi w:val="0"/>
              <w:adjustRightInd/>
              <w:snapToGrid/>
              <w:spacing w:line="580" w:lineRule="exact"/>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7D1946B8">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szCs w:val="21"/>
              </w:rPr>
            </w:pPr>
            <w:r>
              <w:rPr>
                <w:rFonts w:hint="eastAsia" w:ascii="黑体" w:hAnsi="黑体" w:eastAsia="黑体"/>
                <w:kern w:val="0"/>
                <w:szCs w:val="21"/>
              </w:rPr>
              <w:t>申请人情况</w:t>
            </w:r>
          </w:p>
        </w:tc>
      </w:tr>
      <w:tr w14:paraId="46605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2ABABB77">
            <w:pPr>
              <w:keepNext w:val="0"/>
              <w:keepLines w:val="0"/>
              <w:pageBreakBefore w:val="0"/>
              <w:kinsoku/>
              <w:overflowPunct/>
              <w:topLinePunct w:val="0"/>
              <w:autoSpaceDE/>
              <w:autoSpaceDN/>
              <w:bidi w:val="0"/>
              <w:adjustRightInd/>
              <w:snapToGrid/>
              <w:spacing w:line="580" w:lineRule="exact"/>
              <w:jc w:val="center"/>
              <w:textAlignment w:val="auto"/>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4CF84F78">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12BE0A2E">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1A7982F8">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szCs w:val="21"/>
              </w:rPr>
            </w:pPr>
            <w:r>
              <w:rPr>
                <w:rFonts w:hint="eastAsia" w:ascii="黑体" w:hAnsi="黑体" w:eastAsia="黑体"/>
                <w:kern w:val="0"/>
                <w:szCs w:val="21"/>
              </w:rPr>
              <w:t>总计</w:t>
            </w:r>
          </w:p>
        </w:tc>
      </w:tr>
      <w:tr w14:paraId="177581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0DD9D315">
            <w:pPr>
              <w:keepNext w:val="0"/>
              <w:keepLines w:val="0"/>
              <w:pageBreakBefore w:val="0"/>
              <w:kinsoku/>
              <w:overflowPunct/>
              <w:topLinePunct w:val="0"/>
              <w:autoSpaceDE/>
              <w:autoSpaceDN/>
              <w:bidi w:val="0"/>
              <w:adjustRightInd/>
              <w:snapToGrid/>
              <w:spacing w:line="580" w:lineRule="exact"/>
              <w:jc w:val="center"/>
              <w:textAlignment w:val="auto"/>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781F3585">
            <w:pPr>
              <w:keepNext w:val="0"/>
              <w:keepLines w:val="0"/>
              <w:pageBreakBefore w:val="0"/>
              <w:kinsoku/>
              <w:overflowPunct/>
              <w:topLinePunct w:val="0"/>
              <w:autoSpaceDE/>
              <w:autoSpaceDN/>
              <w:bidi w:val="0"/>
              <w:adjustRightInd/>
              <w:snapToGrid/>
              <w:spacing w:line="580" w:lineRule="exact"/>
              <w:jc w:val="center"/>
              <w:textAlignment w:val="auto"/>
              <w:rPr>
                <w:rFonts w:ascii="黑体" w:hAnsi="黑体" w:eastAsia="黑体"/>
                <w:szCs w:val="21"/>
              </w:rPr>
            </w:pPr>
          </w:p>
        </w:tc>
        <w:tc>
          <w:tcPr>
            <w:tcW w:w="567" w:type="dxa"/>
            <w:shd w:val="clear" w:color="auto" w:fill="auto"/>
            <w:tcMar>
              <w:left w:w="108" w:type="dxa"/>
              <w:right w:w="108" w:type="dxa"/>
            </w:tcMar>
            <w:vAlign w:val="center"/>
          </w:tcPr>
          <w:p w14:paraId="5A49C6C7">
            <w:pPr>
              <w:keepNext w:val="0"/>
              <w:keepLines w:val="0"/>
              <w:pageBreakBefore w:val="0"/>
              <w:widowControl/>
              <w:kinsoku/>
              <w:overflowPunct/>
              <w:topLinePunct w:val="0"/>
              <w:autoSpaceDE/>
              <w:autoSpaceDN/>
              <w:bidi w:val="0"/>
              <w:adjustRightInd/>
              <w:snapToGrid/>
              <w:spacing w:line="58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5143A6A2">
            <w:pPr>
              <w:keepNext w:val="0"/>
              <w:keepLines w:val="0"/>
              <w:pageBreakBefore w:val="0"/>
              <w:widowControl/>
              <w:kinsoku/>
              <w:overflowPunct/>
              <w:topLinePunct w:val="0"/>
              <w:autoSpaceDE/>
              <w:autoSpaceDN/>
              <w:bidi w:val="0"/>
              <w:adjustRightInd/>
              <w:snapToGrid/>
              <w:spacing w:line="58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13382789">
            <w:pPr>
              <w:keepNext w:val="0"/>
              <w:keepLines w:val="0"/>
              <w:pageBreakBefore w:val="0"/>
              <w:widowControl/>
              <w:kinsoku/>
              <w:overflowPunct/>
              <w:topLinePunct w:val="0"/>
              <w:autoSpaceDE/>
              <w:autoSpaceDN/>
              <w:bidi w:val="0"/>
              <w:adjustRightInd/>
              <w:snapToGrid/>
              <w:spacing w:line="58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227A8BE1">
            <w:pPr>
              <w:keepNext w:val="0"/>
              <w:keepLines w:val="0"/>
              <w:pageBreakBefore w:val="0"/>
              <w:widowControl/>
              <w:kinsoku/>
              <w:overflowPunct/>
              <w:topLinePunct w:val="0"/>
              <w:autoSpaceDE/>
              <w:autoSpaceDN/>
              <w:bidi w:val="0"/>
              <w:adjustRightInd/>
              <w:snapToGrid/>
              <w:spacing w:line="58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04270EFD">
            <w:pPr>
              <w:keepNext w:val="0"/>
              <w:keepLines w:val="0"/>
              <w:pageBreakBefore w:val="0"/>
              <w:widowControl/>
              <w:kinsoku/>
              <w:overflowPunct/>
              <w:topLinePunct w:val="0"/>
              <w:autoSpaceDE/>
              <w:autoSpaceDN/>
              <w:bidi w:val="0"/>
              <w:adjustRightInd/>
              <w:snapToGrid/>
              <w:spacing w:line="580" w:lineRule="exact"/>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7024344A">
            <w:pPr>
              <w:keepNext w:val="0"/>
              <w:keepLines w:val="0"/>
              <w:pageBreakBefore w:val="0"/>
              <w:kinsoku/>
              <w:overflowPunct/>
              <w:topLinePunct w:val="0"/>
              <w:autoSpaceDE/>
              <w:autoSpaceDN/>
              <w:bidi w:val="0"/>
              <w:adjustRightInd/>
              <w:snapToGrid/>
              <w:spacing w:line="580" w:lineRule="exact"/>
              <w:jc w:val="center"/>
              <w:textAlignment w:val="auto"/>
              <w:rPr>
                <w:rFonts w:ascii="仿宋_GB2312" w:hAnsi="Times New Roman" w:eastAsia="仿宋_GB2312"/>
                <w:szCs w:val="21"/>
              </w:rPr>
            </w:pPr>
          </w:p>
        </w:tc>
      </w:tr>
      <w:tr w14:paraId="35898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5B09C3F2">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1E2FEE1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p>
        </w:tc>
        <w:tc>
          <w:tcPr>
            <w:tcW w:w="567" w:type="dxa"/>
            <w:shd w:val="clear" w:color="auto" w:fill="auto"/>
            <w:tcMar>
              <w:left w:w="108" w:type="dxa"/>
              <w:right w:w="108" w:type="dxa"/>
            </w:tcMar>
            <w:vAlign w:val="center"/>
          </w:tcPr>
          <w:p w14:paraId="2D25E30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2B44CE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786764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0BC574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E92E46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D19E94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p>
        </w:tc>
      </w:tr>
      <w:tr w14:paraId="2FA7A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6B54682">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551DDC9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D88548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89F17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FA12B2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14F905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F1D9C4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34EB76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DFB5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1F1C692">
            <w:pPr>
              <w:keepNext w:val="0"/>
              <w:keepLines w:val="0"/>
              <w:pageBreakBefore w:val="0"/>
              <w:widowControl/>
              <w:kinsoku/>
              <w:overflowPunct/>
              <w:topLinePunct w:val="0"/>
              <w:autoSpaceDE/>
              <w:autoSpaceDN/>
              <w:bidi w:val="0"/>
              <w:adjustRightInd/>
              <w:snapToGrid/>
              <w:spacing w:after="180" w:line="580" w:lineRule="exact"/>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07660E32">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782B834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3</w:t>
            </w:r>
          </w:p>
        </w:tc>
        <w:tc>
          <w:tcPr>
            <w:tcW w:w="567" w:type="dxa"/>
            <w:shd w:val="clear" w:color="auto" w:fill="auto"/>
            <w:tcMar>
              <w:left w:w="108" w:type="dxa"/>
              <w:right w:w="108" w:type="dxa"/>
            </w:tcMar>
            <w:vAlign w:val="center"/>
          </w:tcPr>
          <w:p w14:paraId="63CDA8F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EDA009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C28AFD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CC8D22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FB648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296FDC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3</w:t>
            </w:r>
          </w:p>
        </w:tc>
      </w:tr>
      <w:tr w14:paraId="559BA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452613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4677" w:type="dxa"/>
            <w:gridSpan w:val="2"/>
            <w:shd w:val="clear" w:color="auto" w:fill="auto"/>
            <w:tcMar>
              <w:left w:w="108" w:type="dxa"/>
              <w:right w:w="108" w:type="dxa"/>
            </w:tcMar>
            <w:vAlign w:val="center"/>
          </w:tcPr>
          <w:p w14:paraId="4C3928C4">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405DC92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76BAE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2D1F4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493DFF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677D1C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A69C87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DA8D7A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9DCA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828814C">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2459618E">
            <w:pPr>
              <w:keepNext w:val="0"/>
              <w:keepLines w:val="0"/>
              <w:pageBreakBefore w:val="0"/>
              <w:widowControl/>
              <w:kinsoku/>
              <w:overflowPunct/>
              <w:topLinePunct w:val="0"/>
              <w:autoSpaceDE/>
              <w:autoSpaceDN/>
              <w:bidi w:val="0"/>
              <w:adjustRightInd/>
              <w:snapToGrid/>
              <w:spacing w:line="580" w:lineRule="exact"/>
              <w:ind w:left="-10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543F7938">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76BA022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7D329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77E7D61">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1817F9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42F57F8">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682188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429521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4371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120CDB">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DE78F61">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1048A4BC">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08931BD1">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23CF884">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CF2A24">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E5E9002">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E38860F">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53A3302">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077B148">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5B21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EB97177">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565535B">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2119422F">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78A90A4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870447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C0E20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FB538B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0BA44FD">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70279E4">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6B2011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E06B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E04155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2BE3BB2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60A70C1A">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06D63E6C">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BF5303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EAA2E1">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D673449">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797E1F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C34B869">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9A7B2C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6F41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594F27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AA48D7A">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67199338">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4D7E6ED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C27461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F2C6A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E77D095">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89E97C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D6FCE4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15616EF">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F886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82AA4E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9C047CA">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67ABD512">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13C9092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0FABCC">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6BBA09">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8441F5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49A4FE3">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5B0DBB8">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CCFBBAC">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30CC8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149956A">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4AA83CA">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256E775A">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5B5396B0">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D2B287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3495ED">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0F02D43">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DBD329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57953E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B3139D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1691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A6AA613">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32C23E1">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517D81F7">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061A32B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F2789F5">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A888EA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9F10DB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EF7D48C">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59C82B1">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FE6A085">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D37E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7DBB440">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4E4666B2">
            <w:pPr>
              <w:keepNext w:val="0"/>
              <w:keepLines w:val="0"/>
              <w:pageBreakBefore w:val="0"/>
              <w:widowControl/>
              <w:kinsoku/>
              <w:overflowPunct/>
              <w:topLinePunct w:val="0"/>
              <w:autoSpaceDE/>
              <w:autoSpaceDN/>
              <w:bidi w:val="0"/>
              <w:adjustRightInd/>
              <w:snapToGrid/>
              <w:spacing w:line="580" w:lineRule="exact"/>
              <w:ind w:left="-10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477A0787">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5104F2D8">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14:paraId="6C87107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255146D">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EC62AB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D800E61">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2C4068C">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431A7B3">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1</w:t>
            </w:r>
          </w:p>
        </w:tc>
      </w:tr>
      <w:tr w14:paraId="74B25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64B9444">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1996EEE">
            <w:pPr>
              <w:keepNext w:val="0"/>
              <w:keepLines w:val="0"/>
              <w:pageBreakBefore w:val="0"/>
              <w:kinsoku/>
              <w:overflowPunct/>
              <w:topLinePunct w:val="0"/>
              <w:autoSpaceDE/>
              <w:autoSpaceDN/>
              <w:bidi w:val="0"/>
              <w:adjustRightInd/>
              <w:snapToGrid/>
              <w:spacing w:line="580" w:lineRule="exact"/>
              <w:ind w:left="-107" w:leftChars="-51"/>
              <w:textAlignment w:val="auto"/>
              <w:rPr>
                <w:rFonts w:ascii="黑体" w:hAnsi="黑体" w:eastAsia="黑体"/>
                <w:szCs w:val="21"/>
              </w:rPr>
            </w:pPr>
          </w:p>
        </w:tc>
        <w:tc>
          <w:tcPr>
            <w:tcW w:w="2976" w:type="dxa"/>
            <w:shd w:val="clear" w:color="auto" w:fill="auto"/>
            <w:tcMar>
              <w:left w:w="108" w:type="dxa"/>
              <w:right w:w="108" w:type="dxa"/>
            </w:tcMar>
            <w:vAlign w:val="center"/>
          </w:tcPr>
          <w:p w14:paraId="450F236D">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37CCB48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3C3D14D">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02BC7C">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9D98B83">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57F635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FB0346F">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37D9DEF">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5FD0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F135C2">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92D272E">
            <w:pPr>
              <w:keepNext w:val="0"/>
              <w:keepLines w:val="0"/>
              <w:pageBreakBefore w:val="0"/>
              <w:kinsoku/>
              <w:overflowPunct/>
              <w:topLinePunct w:val="0"/>
              <w:autoSpaceDE/>
              <w:autoSpaceDN/>
              <w:bidi w:val="0"/>
              <w:adjustRightInd/>
              <w:snapToGrid/>
              <w:spacing w:line="580" w:lineRule="exact"/>
              <w:ind w:left="-107" w:leftChars="-51"/>
              <w:textAlignment w:val="auto"/>
              <w:rPr>
                <w:rFonts w:ascii="黑体" w:hAnsi="黑体" w:eastAsia="黑体"/>
                <w:szCs w:val="21"/>
              </w:rPr>
            </w:pPr>
          </w:p>
        </w:tc>
        <w:tc>
          <w:tcPr>
            <w:tcW w:w="2976" w:type="dxa"/>
            <w:shd w:val="clear" w:color="auto" w:fill="auto"/>
            <w:tcMar>
              <w:left w:w="108" w:type="dxa"/>
              <w:right w:w="108" w:type="dxa"/>
            </w:tcMar>
            <w:vAlign w:val="center"/>
          </w:tcPr>
          <w:p w14:paraId="47598618">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5CC1D0F3">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041AD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F7395E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3CB1F19">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5CAFF49">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B8F3F2F">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8B1322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4017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BD6EA6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1D3A5B63">
            <w:pPr>
              <w:keepNext w:val="0"/>
              <w:keepLines w:val="0"/>
              <w:pageBreakBefore w:val="0"/>
              <w:widowControl/>
              <w:kinsoku/>
              <w:overflowPunct/>
              <w:topLinePunct w:val="0"/>
              <w:autoSpaceDE/>
              <w:autoSpaceDN/>
              <w:bidi w:val="0"/>
              <w:adjustRightInd/>
              <w:snapToGrid/>
              <w:spacing w:line="580" w:lineRule="exact"/>
              <w:ind w:left="-10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56268DDC">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1C31DCC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23828C9">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09A3BCD">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62E28ED">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A03CC38">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F169195">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20FE518">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BD76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667F9">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6CC170D">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1C35FFB4">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5A2D101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02C2BC1">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292B73">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9F7CF9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7D51E33">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44D995">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29E15D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027F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DADE15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CE8355E">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2688E847">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6B938B4C">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7AC4FA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A44C0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3460998">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9F4C6F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EDBE4DF">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DF756F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1D7D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5A332D8D">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B067967">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6B4775EC">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0373447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EFEE73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20D7609">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F34301F">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677D2A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3CEBBD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30DD252">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7B96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C513CC6">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3D390613">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5F422ABE">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24DAE233">
            <w:pPr>
              <w:keepNext w:val="0"/>
              <w:keepLines w:val="0"/>
              <w:pageBreakBefore w:val="0"/>
              <w:widowControl/>
              <w:kinsoku/>
              <w:overflowPunct/>
              <w:topLinePunct w:val="0"/>
              <w:autoSpaceDE/>
              <w:autoSpaceDN/>
              <w:bidi w:val="0"/>
              <w:adjustRightInd/>
              <w:snapToGrid/>
              <w:spacing w:line="580" w:lineRule="exact"/>
              <w:ind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7137496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EFE1C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4EC66D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EA02CC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0F1630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2438FF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ABE8DB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01EE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AD3263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6C560A8F">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7FD262B5">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18CCEF1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F7565D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1445F9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0D9785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CDC9E3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EAEE7C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3470C6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E7E8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51C06F4">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4ECD6C5">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kern w:val="0"/>
                <w:szCs w:val="21"/>
              </w:rPr>
            </w:pPr>
          </w:p>
        </w:tc>
        <w:tc>
          <w:tcPr>
            <w:tcW w:w="2976" w:type="dxa"/>
            <w:shd w:val="clear" w:color="auto" w:fill="auto"/>
            <w:vAlign w:val="center"/>
          </w:tcPr>
          <w:p w14:paraId="201B66C2">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31C5118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80A919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8116DB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04B025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BA0DDF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12E5ED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AA2449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0669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7A99DD6">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284F589">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kern w:val="0"/>
                <w:szCs w:val="21"/>
              </w:rPr>
            </w:pPr>
          </w:p>
        </w:tc>
        <w:tc>
          <w:tcPr>
            <w:tcW w:w="2976" w:type="dxa"/>
            <w:shd w:val="clear" w:color="auto" w:fill="auto"/>
            <w:vAlign w:val="center"/>
          </w:tcPr>
          <w:p w14:paraId="7598F3DE">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11723BB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944F5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56D6EF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E63B35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8EA3DA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0C6AD2">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D73569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E65A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D03F996">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4677" w:type="dxa"/>
            <w:gridSpan w:val="2"/>
            <w:shd w:val="clear" w:color="auto" w:fill="auto"/>
            <w:tcMar>
              <w:left w:w="108" w:type="dxa"/>
              <w:right w:w="108" w:type="dxa"/>
            </w:tcMar>
            <w:vAlign w:val="center"/>
          </w:tcPr>
          <w:p w14:paraId="4210465E">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E69D0D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3</w:t>
            </w:r>
          </w:p>
        </w:tc>
        <w:tc>
          <w:tcPr>
            <w:tcW w:w="567" w:type="dxa"/>
            <w:shd w:val="clear" w:color="auto" w:fill="auto"/>
            <w:tcMar>
              <w:left w:w="108" w:type="dxa"/>
              <w:right w:w="108" w:type="dxa"/>
            </w:tcMar>
            <w:vAlign w:val="center"/>
          </w:tcPr>
          <w:p w14:paraId="1F8AC8D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1F452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4CB771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CBD63B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CF4BEF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EB66A7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3</w:t>
            </w:r>
          </w:p>
        </w:tc>
      </w:tr>
      <w:tr w14:paraId="1979C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4DB356C1">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0A308C5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C3A82C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D9D29A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041634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8B3D4B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1A2A60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BB36C82">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bl>
    <w:p w14:paraId="4E507B2D">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宋体" w:hAnsi="宋体" w:eastAsia="宋体" w:cs="宋体"/>
          <w:color w:val="333333"/>
        </w:rPr>
      </w:pPr>
      <w:r>
        <w:rPr>
          <w:rFonts w:hint="eastAsia" w:ascii="黑体" w:hAnsi="黑体" w:eastAsia="黑体" w:cs="宋体"/>
          <w:color w:val="333333"/>
          <w:sz w:val="32"/>
          <w:szCs w:val="32"/>
          <w:shd w:val="clear" w:color="auto" w:fill="FFFFFF"/>
          <w:lang w:eastAsia="zh-CN"/>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240C9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3D9DF0A">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7F5CC0">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行政诉讼</w:t>
            </w:r>
          </w:p>
        </w:tc>
      </w:tr>
      <w:tr w14:paraId="1752F6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8FE60A">
            <w:pPr>
              <w:keepNext w:val="0"/>
              <w:keepLines w:val="0"/>
              <w:pageBreakBefore w:val="0"/>
              <w:widowControl/>
              <w:kinsoku/>
              <w:overflowPunct/>
              <w:topLinePunct w:val="0"/>
              <w:autoSpaceDE/>
              <w:autoSpaceDN/>
              <w:bidi w:val="0"/>
              <w:adjustRightInd/>
              <w:snapToGrid/>
              <w:spacing w:line="580" w:lineRule="exact"/>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14:paraId="191F29BC">
            <w:pPr>
              <w:keepNext w:val="0"/>
              <w:keepLines w:val="0"/>
              <w:pageBreakBefore w:val="0"/>
              <w:widowControl/>
              <w:kinsoku/>
              <w:overflowPunct/>
              <w:topLinePunct w:val="0"/>
              <w:autoSpaceDE/>
              <w:autoSpaceDN/>
              <w:bidi w:val="0"/>
              <w:adjustRightInd/>
              <w:snapToGrid/>
              <w:spacing w:line="580" w:lineRule="exact"/>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5A15DB8">
            <w:pPr>
              <w:keepNext w:val="0"/>
              <w:keepLines w:val="0"/>
              <w:pageBreakBefore w:val="0"/>
              <w:widowControl/>
              <w:kinsoku/>
              <w:overflowPunct/>
              <w:topLinePunct w:val="0"/>
              <w:autoSpaceDE/>
              <w:autoSpaceDN/>
              <w:bidi w:val="0"/>
              <w:adjustRightInd/>
              <w:snapToGrid/>
              <w:spacing w:line="580" w:lineRule="exact"/>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6FF329C">
            <w:pPr>
              <w:keepNext w:val="0"/>
              <w:keepLines w:val="0"/>
              <w:pageBreakBefore w:val="0"/>
              <w:widowControl/>
              <w:kinsoku/>
              <w:overflowPunct/>
              <w:topLinePunct w:val="0"/>
              <w:autoSpaceDE/>
              <w:autoSpaceDN/>
              <w:bidi w:val="0"/>
              <w:adjustRightInd/>
              <w:snapToGrid/>
              <w:spacing w:line="580" w:lineRule="exact"/>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283E0F">
            <w:pPr>
              <w:keepNext w:val="0"/>
              <w:keepLines w:val="0"/>
              <w:pageBreakBefore w:val="0"/>
              <w:widowControl/>
              <w:kinsoku/>
              <w:overflowPunct/>
              <w:topLinePunct w:val="0"/>
              <w:autoSpaceDE/>
              <w:autoSpaceDN/>
              <w:bidi w:val="0"/>
              <w:adjustRightInd/>
              <w:snapToGrid/>
              <w:spacing w:line="580" w:lineRule="exact"/>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14:paraId="35A76174">
            <w:pPr>
              <w:keepNext w:val="0"/>
              <w:keepLines w:val="0"/>
              <w:pageBreakBefore w:val="0"/>
              <w:widowControl/>
              <w:kinsoku/>
              <w:overflowPunct/>
              <w:topLinePunct w:val="0"/>
              <w:autoSpaceDE/>
              <w:autoSpaceDN/>
              <w:bidi w:val="0"/>
              <w:adjustRightInd/>
              <w:snapToGrid/>
              <w:spacing w:line="580" w:lineRule="exact"/>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4AA88F">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kern w:val="0"/>
                <w:sz w:val="20"/>
                <w:szCs w:val="20"/>
              </w:rPr>
            </w:pPr>
            <w:r>
              <w:rPr>
                <w:rFonts w:ascii="黑体" w:hAnsi="黑体" w:eastAsia="黑体"/>
                <w:kern w:val="0"/>
                <w:sz w:val="20"/>
                <w:szCs w:val="20"/>
              </w:rPr>
              <w:t>总</w:t>
            </w:r>
          </w:p>
          <w:p w14:paraId="657E0F34">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6D1CF0">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522927">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14:paraId="63778E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63631B">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2C53916">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DFB54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81BC07">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E0675A">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DCFD44B">
            <w:pPr>
              <w:keepNext w:val="0"/>
              <w:keepLines w:val="0"/>
              <w:pageBreakBefore w:val="0"/>
              <w:widowControl/>
              <w:kinsoku/>
              <w:overflowPunct/>
              <w:topLinePunct w:val="0"/>
              <w:autoSpaceDE/>
              <w:autoSpaceDN/>
              <w:bidi w:val="0"/>
              <w:adjustRightInd/>
              <w:snapToGrid/>
              <w:spacing w:line="580" w:lineRule="exact"/>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FD2F9B">
            <w:pPr>
              <w:keepNext w:val="0"/>
              <w:keepLines w:val="0"/>
              <w:pageBreakBefore w:val="0"/>
              <w:widowControl/>
              <w:kinsoku/>
              <w:overflowPunct/>
              <w:topLinePunct w:val="0"/>
              <w:autoSpaceDE/>
              <w:autoSpaceDN/>
              <w:bidi w:val="0"/>
              <w:adjustRightInd/>
              <w:snapToGrid/>
              <w:spacing w:line="580" w:lineRule="exact"/>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B83759">
            <w:pPr>
              <w:keepNext w:val="0"/>
              <w:keepLines w:val="0"/>
              <w:pageBreakBefore w:val="0"/>
              <w:widowControl/>
              <w:kinsoku/>
              <w:overflowPunct/>
              <w:topLinePunct w:val="0"/>
              <w:autoSpaceDE/>
              <w:autoSpaceDN/>
              <w:bidi w:val="0"/>
              <w:adjustRightInd/>
              <w:snapToGrid/>
              <w:spacing w:line="580" w:lineRule="exact"/>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14:paraId="0B8F98D7">
            <w:pPr>
              <w:keepNext w:val="0"/>
              <w:keepLines w:val="0"/>
              <w:pageBreakBefore w:val="0"/>
              <w:widowControl/>
              <w:kinsoku/>
              <w:overflowPunct/>
              <w:topLinePunct w:val="0"/>
              <w:autoSpaceDE/>
              <w:autoSpaceDN/>
              <w:bidi w:val="0"/>
              <w:adjustRightInd/>
              <w:snapToGrid/>
              <w:spacing w:line="580" w:lineRule="exact"/>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AE6425">
            <w:pPr>
              <w:keepNext w:val="0"/>
              <w:keepLines w:val="0"/>
              <w:pageBreakBefore w:val="0"/>
              <w:widowControl/>
              <w:kinsoku/>
              <w:overflowPunct/>
              <w:topLinePunct w:val="0"/>
              <w:autoSpaceDE/>
              <w:autoSpaceDN/>
              <w:bidi w:val="0"/>
              <w:adjustRightInd/>
              <w:snapToGrid/>
              <w:spacing w:line="580" w:lineRule="exact"/>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14:paraId="000D9509">
            <w:pPr>
              <w:keepNext w:val="0"/>
              <w:keepLines w:val="0"/>
              <w:pageBreakBefore w:val="0"/>
              <w:widowControl/>
              <w:kinsoku/>
              <w:overflowPunct/>
              <w:topLinePunct w:val="0"/>
              <w:autoSpaceDE/>
              <w:autoSpaceDN/>
              <w:bidi w:val="0"/>
              <w:adjustRightInd/>
              <w:snapToGrid/>
              <w:spacing w:line="580" w:lineRule="exact"/>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5FFC2AF">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69DE59">
            <w:pPr>
              <w:keepNext w:val="0"/>
              <w:keepLines w:val="0"/>
              <w:pageBreakBefore w:val="0"/>
              <w:widowControl/>
              <w:kinsoku/>
              <w:overflowPunct/>
              <w:topLinePunct w:val="0"/>
              <w:autoSpaceDE/>
              <w:autoSpaceDN/>
              <w:bidi w:val="0"/>
              <w:adjustRightInd/>
              <w:snapToGrid/>
              <w:spacing w:line="580" w:lineRule="exact"/>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58E638">
            <w:pPr>
              <w:keepNext w:val="0"/>
              <w:keepLines w:val="0"/>
              <w:pageBreakBefore w:val="0"/>
              <w:widowControl/>
              <w:kinsoku/>
              <w:overflowPunct/>
              <w:topLinePunct w:val="0"/>
              <w:autoSpaceDE/>
              <w:autoSpaceDN/>
              <w:bidi w:val="0"/>
              <w:adjustRightInd/>
              <w:snapToGrid/>
              <w:spacing w:line="580" w:lineRule="exact"/>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14:paraId="462CEE54">
            <w:pPr>
              <w:keepNext w:val="0"/>
              <w:keepLines w:val="0"/>
              <w:pageBreakBefore w:val="0"/>
              <w:widowControl/>
              <w:kinsoku/>
              <w:overflowPunct/>
              <w:topLinePunct w:val="0"/>
              <w:autoSpaceDE/>
              <w:autoSpaceDN/>
              <w:bidi w:val="0"/>
              <w:adjustRightInd/>
              <w:snapToGrid/>
              <w:spacing w:line="580" w:lineRule="exact"/>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C6AAF2F">
            <w:pPr>
              <w:keepNext w:val="0"/>
              <w:keepLines w:val="0"/>
              <w:pageBreakBefore w:val="0"/>
              <w:widowControl/>
              <w:kinsoku/>
              <w:overflowPunct/>
              <w:topLinePunct w:val="0"/>
              <w:autoSpaceDE/>
              <w:autoSpaceDN/>
              <w:bidi w:val="0"/>
              <w:adjustRightInd/>
              <w:snapToGrid/>
              <w:spacing w:line="580" w:lineRule="exact"/>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14:paraId="53422A09">
            <w:pPr>
              <w:keepNext w:val="0"/>
              <w:keepLines w:val="0"/>
              <w:pageBreakBefore w:val="0"/>
              <w:widowControl/>
              <w:kinsoku/>
              <w:overflowPunct/>
              <w:topLinePunct w:val="0"/>
              <w:autoSpaceDE/>
              <w:autoSpaceDN/>
              <w:bidi w:val="0"/>
              <w:adjustRightInd/>
              <w:snapToGrid/>
              <w:spacing w:line="580" w:lineRule="exact"/>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F75261">
            <w:pPr>
              <w:keepNext w:val="0"/>
              <w:keepLines w:val="0"/>
              <w:pageBreakBefore w:val="0"/>
              <w:widowControl/>
              <w:kinsoku/>
              <w:overflowPunct/>
              <w:topLinePunct w:val="0"/>
              <w:autoSpaceDE/>
              <w:autoSpaceDN/>
              <w:bidi w:val="0"/>
              <w:adjustRightInd/>
              <w:snapToGrid/>
              <w:spacing w:line="580" w:lineRule="exact"/>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D82B18">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总计</w:t>
            </w:r>
          </w:p>
        </w:tc>
      </w:tr>
      <w:tr w14:paraId="26BCC2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F03EE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DB7CE7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8A3A18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80D6BD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B1EBAB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C064D7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E05B04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A2E52A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43E103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BE663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default"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A8C01A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default"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78AD35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2BFFE3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F84C3F2">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40FA50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0CCCE024">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宋体"/>
          <w:color w:val="333333"/>
          <w:sz w:val="32"/>
          <w:szCs w:val="32"/>
          <w:shd w:val="clear" w:color="auto" w:fill="FFFFFF"/>
          <w:lang w:eastAsia="zh-CN"/>
        </w:rPr>
      </w:pPr>
      <w:r>
        <w:rPr>
          <w:rFonts w:hint="eastAsia" w:ascii="黑体" w:hAnsi="黑体" w:eastAsia="黑体" w:cs="宋体"/>
          <w:color w:val="333333"/>
          <w:sz w:val="32"/>
          <w:szCs w:val="32"/>
          <w:shd w:val="clear" w:color="auto" w:fill="FFFFFF"/>
          <w:lang w:eastAsia="zh-CN"/>
        </w:rPr>
        <w:t>五、存在的主要问题及改进情况</w:t>
      </w:r>
    </w:p>
    <w:p w14:paraId="2ADE889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eastAsia="zh-CN"/>
        </w:rPr>
      </w:pPr>
      <w:r>
        <w:rPr>
          <w:rFonts w:hint="eastAsia" w:ascii="楷体" w:hAnsi="楷体" w:eastAsia="楷体" w:cs="宋体"/>
          <w:color w:val="333333"/>
          <w:sz w:val="32"/>
          <w:szCs w:val="32"/>
          <w:shd w:val="clear" w:color="auto" w:fill="FFFFFF"/>
          <w:lang w:eastAsia="zh-CN"/>
        </w:rPr>
        <w:t>（一）存在的主要问题</w:t>
      </w:r>
    </w:p>
    <w:p w14:paraId="29E11DE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202</w:t>
      </w:r>
      <w:r>
        <w:rPr>
          <w:rFonts w:hint="eastAsia" w:ascii="仿宋_GB2312" w:hAnsi="仿宋_GB2312" w:eastAsia="仿宋_GB2312" w:cs="仿宋_GB2312"/>
          <w:color w:val="auto"/>
          <w:kern w:val="2"/>
          <w:sz w:val="32"/>
          <w:szCs w:val="32"/>
          <w:lang w:val="en-US" w:eastAsia="zh-CN" w:bidi="ar-SA"/>
        </w:rPr>
        <w:t>5</w:t>
      </w:r>
      <w:r>
        <w:rPr>
          <w:rFonts w:hint="default"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按照省</w:t>
      </w:r>
      <w:r>
        <w:rPr>
          <w:rFonts w:hint="eastAsia" w:ascii="仿宋_GB2312" w:hAnsi="仿宋_GB2312" w:eastAsia="仿宋_GB2312" w:cs="仿宋_GB2312"/>
          <w:color w:val="auto"/>
          <w:kern w:val="2"/>
          <w:sz w:val="32"/>
          <w:szCs w:val="32"/>
          <w:lang w:val="en-US" w:eastAsia="zh-CN" w:bidi="ar-SA"/>
        </w:rPr>
        <w:t>文化和旅游厅、</w:t>
      </w:r>
      <w:r>
        <w:rPr>
          <w:rFonts w:hint="default" w:ascii="仿宋_GB2312" w:hAnsi="仿宋_GB2312" w:eastAsia="仿宋_GB2312" w:cs="仿宋_GB2312"/>
          <w:color w:val="auto"/>
          <w:kern w:val="2"/>
          <w:sz w:val="32"/>
          <w:szCs w:val="32"/>
          <w:lang w:val="en-US" w:eastAsia="zh-CN" w:bidi="ar-SA"/>
        </w:rPr>
        <w:t>市政府办公室的安排部署，</w:t>
      </w:r>
      <w:r>
        <w:rPr>
          <w:rFonts w:hint="eastAsia" w:ascii="仿宋_GB2312" w:hAnsi="仿宋_GB2312" w:eastAsia="仿宋_GB2312" w:cs="仿宋_GB2312"/>
          <w:color w:val="auto"/>
          <w:kern w:val="2"/>
          <w:sz w:val="32"/>
          <w:szCs w:val="32"/>
          <w:lang w:val="en-US" w:eastAsia="zh-CN" w:bidi="ar-SA"/>
        </w:rPr>
        <w:t>市文化和旅游局</w:t>
      </w:r>
      <w:r>
        <w:rPr>
          <w:rFonts w:hint="default" w:ascii="仿宋_GB2312" w:hAnsi="仿宋_GB2312" w:eastAsia="仿宋_GB2312" w:cs="仿宋_GB2312"/>
          <w:color w:val="auto"/>
          <w:kern w:val="2"/>
          <w:sz w:val="32"/>
          <w:szCs w:val="32"/>
          <w:lang w:val="en-US" w:eastAsia="zh-CN" w:bidi="ar-SA"/>
        </w:rPr>
        <w:t>全面推进政务公开工作，取得了一定成效。同时，也存在一些问题和不足。一是主动公开意识不够强，部分信息公开有时存在滞后现象；</w:t>
      </w:r>
      <w:r>
        <w:rPr>
          <w:rFonts w:hint="eastAsia" w:ascii="仿宋_GB2312" w:hAnsi="仿宋_GB2312" w:eastAsia="仿宋_GB2312" w:cs="仿宋_GB2312"/>
          <w:color w:val="auto"/>
          <w:kern w:val="2"/>
          <w:sz w:val="32"/>
          <w:szCs w:val="32"/>
          <w:lang w:val="en-US" w:eastAsia="zh-CN" w:bidi="ar-SA"/>
        </w:rPr>
        <w:t>二</w:t>
      </w:r>
      <w:r>
        <w:rPr>
          <w:rFonts w:hint="default" w:ascii="仿宋_GB2312" w:hAnsi="仿宋_GB2312" w:eastAsia="仿宋_GB2312" w:cs="仿宋_GB2312"/>
          <w:color w:val="auto"/>
          <w:kern w:val="2"/>
          <w:sz w:val="32"/>
          <w:szCs w:val="32"/>
          <w:lang w:val="en-US" w:eastAsia="zh-CN" w:bidi="ar-SA"/>
        </w:rPr>
        <w:t>是工作</w:t>
      </w:r>
      <w:r>
        <w:rPr>
          <w:rFonts w:hint="eastAsia" w:ascii="仿宋_GB2312" w:hAnsi="仿宋_GB2312" w:eastAsia="仿宋_GB2312" w:cs="仿宋_GB2312"/>
          <w:color w:val="auto"/>
          <w:kern w:val="2"/>
          <w:sz w:val="32"/>
          <w:szCs w:val="32"/>
          <w:lang w:val="en-US" w:eastAsia="zh-CN" w:bidi="ar-SA"/>
        </w:rPr>
        <w:t>方法</w:t>
      </w:r>
      <w:r>
        <w:rPr>
          <w:rFonts w:hint="default" w:ascii="仿宋_GB2312" w:hAnsi="仿宋_GB2312" w:eastAsia="仿宋_GB2312" w:cs="仿宋_GB2312"/>
          <w:color w:val="auto"/>
          <w:kern w:val="2"/>
          <w:sz w:val="32"/>
          <w:szCs w:val="32"/>
          <w:lang w:val="en-US" w:eastAsia="zh-CN" w:bidi="ar-SA"/>
        </w:rPr>
        <w:t>还需进一步</w:t>
      </w:r>
      <w:r>
        <w:rPr>
          <w:rFonts w:hint="eastAsia" w:ascii="仿宋_GB2312" w:hAnsi="仿宋_GB2312" w:eastAsia="仿宋_GB2312" w:cs="仿宋_GB2312"/>
          <w:color w:val="auto"/>
          <w:kern w:val="2"/>
          <w:sz w:val="32"/>
          <w:szCs w:val="32"/>
          <w:lang w:val="en-US" w:eastAsia="zh-CN" w:bidi="ar-SA"/>
        </w:rPr>
        <w:t>提炼</w:t>
      </w:r>
      <w:r>
        <w:rPr>
          <w:rFonts w:hint="default" w:ascii="仿宋_GB2312" w:hAnsi="仿宋_GB2312" w:eastAsia="仿宋_GB2312" w:cs="仿宋_GB2312"/>
          <w:color w:val="auto"/>
          <w:kern w:val="2"/>
          <w:sz w:val="32"/>
          <w:szCs w:val="32"/>
          <w:lang w:val="en-US" w:eastAsia="zh-CN" w:bidi="ar-SA"/>
        </w:rPr>
        <w:t>。政务公开工作中的好经验、好办法未能全面总结提炼和宣传推广。</w:t>
      </w:r>
    </w:p>
    <w:p w14:paraId="2E5A03B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auto"/>
          <w:sz w:val="32"/>
          <w:szCs w:val="32"/>
          <w:shd w:val="clear" w:color="auto" w:fill="FFFFFF"/>
          <w:lang w:val="en-US" w:eastAsia="zh-CN"/>
        </w:rPr>
      </w:pPr>
      <w:r>
        <w:rPr>
          <w:rFonts w:hint="eastAsia" w:ascii="楷体" w:hAnsi="楷体" w:eastAsia="楷体" w:cs="宋体"/>
          <w:color w:val="auto"/>
          <w:sz w:val="32"/>
          <w:szCs w:val="32"/>
          <w:shd w:val="clear" w:color="auto" w:fill="FFFFFF"/>
          <w:lang w:val="en-US" w:eastAsia="zh-CN"/>
        </w:rPr>
        <w:t>（二）改进情况及下一步工作打算</w:t>
      </w:r>
    </w:p>
    <w:p w14:paraId="583815E2">
      <w:pPr>
        <w:pStyle w:val="3"/>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针对以上问题，下步将采取以下措施进行重点改进：一是提高工作人员素养。通过学习先进单位典型经验、</w:t>
      </w:r>
      <w:r>
        <w:rPr>
          <w:rFonts w:hint="eastAsia" w:ascii="仿宋_GB2312" w:hAnsi="仿宋_GB2312" w:eastAsia="仿宋_GB2312" w:cs="仿宋_GB2312"/>
          <w:color w:val="auto"/>
          <w:kern w:val="2"/>
          <w:sz w:val="32"/>
          <w:szCs w:val="32"/>
          <w:lang w:val="en-US" w:eastAsia="zh-CN" w:bidi="ar-SA"/>
        </w:rPr>
        <w:t>参加省市组织的政务公开培训</w:t>
      </w:r>
      <w:r>
        <w:rPr>
          <w:rFonts w:hint="default" w:ascii="仿宋_GB2312" w:hAnsi="仿宋_GB2312" w:eastAsia="仿宋_GB2312" w:cs="仿宋_GB2312"/>
          <w:color w:val="auto"/>
          <w:kern w:val="2"/>
          <w:sz w:val="32"/>
          <w:szCs w:val="32"/>
          <w:lang w:val="en-US" w:eastAsia="zh-CN" w:bidi="ar-SA"/>
        </w:rPr>
        <w:t>等方式，切实强化业务人员能力，准确理解公开要求，提高专业化水平建设。</w:t>
      </w:r>
      <w:r>
        <w:rPr>
          <w:rFonts w:hint="eastAsia" w:ascii="仿宋_GB2312" w:hAnsi="仿宋_GB2312" w:eastAsia="仿宋_GB2312" w:cs="仿宋_GB2312"/>
          <w:color w:val="auto"/>
          <w:kern w:val="2"/>
          <w:sz w:val="32"/>
          <w:szCs w:val="32"/>
          <w:lang w:val="en-US" w:eastAsia="zh-CN" w:bidi="ar-SA"/>
        </w:rPr>
        <w:t>二是加强对工作方法的总结提炼，认真提炼工作中</w:t>
      </w:r>
      <w:r>
        <w:rPr>
          <w:rFonts w:hint="default" w:ascii="仿宋_GB2312" w:hAnsi="仿宋_GB2312" w:eastAsia="仿宋_GB2312" w:cs="仿宋_GB2312"/>
          <w:color w:val="auto"/>
          <w:kern w:val="2"/>
          <w:sz w:val="32"/>
          <w:szCs w:val="32"/>
          <w:lang w:val="en-US" w:eastAsia="zh-CN" w:bidi="ar-SA"/>
        </w:rPr>
        <w:t>好经验、好办法</w:t>
      </w:r>
      <w:r>
        <w:rPr>
          <w:rFonts w:hint="eastAsia" w:ascii="仿宋_GB2312" w:hAnsi="仿宋_GB2312" w:eastAsia="仿宋_GB2312" w:cs="仿宋_GB2312"/>
          <w:color w:val="auto"/>
          <w:kern w:val="2"/>
          <w:sz w:val="32"/>
          <w:szCs w:val="32"/>
          <w:lang w:val="en-US" w:eastAsia="zh-CN" w:bidi="ar-SA"/>
        </w:rPr>
        <w:t>，加强政务公开工作信息报送。</w:t>
      </w:r>
    </w:p>
    <w:p w14:paraId="18388F3D">
      <w:pPr>
        <w:pStyle w:val="3"/>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宋体"/>
          <w:color w:val="333333"/>
          <w:sz w:val="32"/>
          <w:szCs w:val="32"/>
          <w:shd w:val="clear" w:color="auto" w:fill="FFFFFF"/>
        </w:rPr>
      </w:pPr>
      <w:r>
        <w:rPr>
          <w:rFonts w:hint="eastAsia" w:ascii="黑体" w:hAnsi="黑体" w:eastAsia="黑体" w:cs="宋体"/>
          <w:color w:val="333333"/>
          <w:sz w:val="32"/>
          <w:szCs w:val="32"/>
          <w:shd w:val="clear" w:color="auto" w:fill="FFFFFF"/>
          <w:lang w:eastAsia="zh-CN"/>
        </w:rPr>
        <w:t>六、</w:t>
      </w:r>
      <w:r>
        <w:rPr>
          <w:rFonts w:hint="eastAsia" w:ascii="黑体" w:hAnsi="黑体" w:eastAsia="黑体" w:cs="宋体"/>
          <w:color w:val="333333"/>
          <w:sz w:val="32"/>
          <w:szCs w:val="32"/>
          <w:shd w:val="clear" w:color="auto" w:fill="FFFFFF"/>
        </w:rPr>
        <w:t>其他需要报告的事项</w:t>
      </w:r>
    </w:p>
    <w:p w14:paraId="6A3BC11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val="en-US" w:eastAsia="zh-CN"/>
        </w:rPr>
      </w:pPr>
      <w:r>
        <w:rPr>
          <w:rFonts w:hint="eastAsia" w:ascii="楷体" w:hAnsi="楷体" w:eastAsia="楷体" w:cs="宋体"/>
          <w:color w:val="333333"/>
          <w:sz w:val="32"/>
          <w:szCs w:val="32"/>
          <w:shd w:val="clear" w:color="auto" w:fill="FFFFFF"/>
          <w:lang w:val="en-US" w:eastAsia="zh-CN"/>
        </w:rPr>
        <w:t>（一）政府信息公开信息处理费</w:t>
      </w:r>
    </w:p>
    <w:p w14:paraId="7CCFCE00">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枣庄市文化和旅游局严格依照《政府信息公开信息处理费管理办法》，加强对政府信息收费管理，2025年未发生收取信息处理费情况。</w:t>
      </w:r>
    </w:p>
    <w:p w14:paraId="6AB75955">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宋体" w:eastAsia="仿宋_GB2312" w:cs="宋体"/>
          <w:color w:val="333333"/>
          <w:sz w:val="32"/>
          <w:szCs w:val="32"/>
          <w:shd w:val="clear" w:color="auto" w:fill="FFFFFF"/>
          <w:lang w:eastAsia="zh-CN"/>
        </w:rPr>
      </w:pPr>
      <w:r>
        <w:rPr>
          <w:rFonts w:hint="eastAsia" w:ascii="楷体" w:hAnsi="楷体" w:eastAsia="楷体" w:cs="宋体"/>
          <w:color w:val="333333"/>
          <w:sz w:val="32"/>
          <w:szCs w:val="32"/>
          <w:shd w:val="clear" w:color="auto" w:fill="FFFFFF"/>
          <w:lang w:val="en-US" w:eastAsia="zh-CN"/>
        </w:rPr>
        <w:t>（二）落实上级年度政务公开工作要点情况</w:t>
      </w:r>
    </w:p>
    <w:p w14:paraId="557AEFC8">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2025年政务公开重点工作细化分工，形成责任分工表，将责任具体到科室，围绕重点领域信息公开、政策发布解读与回应等方面落实逐项明确责任主体，办公室牵头抓好政府信息公开工作指导和监督，各业务科室根据具体职能配合，按职责分工分别落实。</w:t>
      </w:r>
    </w:p>
    <w:p w14:paraId="781C6F5D">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val="en-US" w:eastAsia="zh-CN"/>
        </w:rPr>
      </w:pPr>
      <w:r>
        <w:rPr>
          <w:rFonts w:hint="eastAsia" w:ascii="楷体" w:hAnsi="楷体" w:eastAsia="楷体" w:cs="宋体"/>
          <w:color w:val="333333"/>
          <w:sz w:val="32"/>
          <w:szCs w:val="32"/>
          <w:shd w:val="clear" w:color="auto" w:fill="FFFFFF"/>
          <w:lang w:val="en-US" w:eastAsia="zh-CN"/>
        </w:rPr>
        <w:t>（三）2025年建议提案办理总体情况</w:t>
      </w:r>
    </w:p>
    <w:p w14:paraId="7AA2D2A4">
      <w:pPr>
        <w:pStyle w:val="3"/>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2025年，枣庄市文化和旅游局分别接收市十七届人大五次会议代表建议23件和市政协十一届四次会议提案47件，涉及文旅融合、群众文化事业、文化保护传承等多方面。现均已答复完毕，办复率100%。</w:t>
      </w:r>
    </w:p>
    <w:p w14:paraId="2FFEB876">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val="en-US" w:eastAsia="zh-CN"/>
        </w:rPr>
      </w:pPr>
      <w:r>
        <w:rPr>
          <w:rFonts w:hint="eastAsia" w:ascii="楷体" w:hAnsi="楷体" w:eastAsia="楷体" w:cs="宋体"/>
          <w:color w:val="333333"/>
          <w:sz w:val="32"/>
          <w:szCs w:val="32"/>
          <w:shd w:val="clear" w:color="auto" w:fill="FFFFFF"/>
          <w:lang w:val="en-US" w:eastAsia="zh-CN"/>
        </w:rPr>
        <w:t>（四）本年度政务公开工作创新情况</w:t>
      </w:r>
    </w:p>
    <w:p w14:paraId="114AFCD8">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除政务公开栏等公开形式外，加大网络等媒体公开力度，利用“文旅枣庄”新媒体传播矩阵积极发布群众文化活动、景区优惠政策、旅游线路等内容，加强政府网站和政务新媒体平台间联动工作，不断提升局门户网站和政务公开平台信息公开质量。</w:t>
      </w:r>
    </w:p>
    <w:p w14:paraId="5A91ACF7">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sz w:val="32"/>
          <w:szCs w:val="32"/>
          <w:lang w:val="en-US" w:eastAsia="zh-CN"/>
        </w:rPr>
      </w:pPr>
    </w:p>
    <w:p w14:paraId="3E7C37BB">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sz w:val="32"/>
          <w:szCs w:val="32"/>
          <w:lang w:eastAsia="zh-CN"/>
        </w:rPr>
      </w:pPr>
    </w:p>
    <w:p w14:paraId="39B6EB33">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枣庄市文化和旅游局</w:t>
      </w:r>
    </w:p>
    <w:p w14:paraId="596B419E">
      <w:pPr>
        <w:keepNext w:val="0"/>
        <w:keepLines w:val="0"/>
        <w:pageBreakBefore w:val="0"/>
        <w:widowControl w:val="0"/>
        <w:kinsoku/>
        <w:wordWrap w:val="0"/>
        <w:overflowPunct/>
        <w:topLinePunct w:val="0"/>
        <w:autoSpaceDE/>
        <w:autoSpaceDN/>
        <w:bidi w:val="0"/>
        <w:adjustRightInd/>
        <w:snapToGrid/>
        <w:spacing w:beforeAutospacing="0" w:afterAutospacing="0" w:line="580" w:lineRule="exact"/>
        <w:ind w:firstLine="640" w:firstLineChars="200"/>
        <w:jc w:val="right"/>
        <w:textAlignment w:val="auto"/>
      </w:pPr>
      <w:r>
        <w:rPr>
          <w:rFonts w:hint="eastAsia" w:ascii="仿宋_GB2312" w:hAnsi="仿宋_GB2312" w:eastAsia="仿宋_GB2312" w:cs="仿宋_GB2312"/>
          <w:sz w:val="32"/>
          <w:szCs w:val="32"/>
          <w:lang w:val="en-US" w:eastAsia="zh-CN"/>
        </w:rPr>
        <w:t xml:space="preserve">2026年1月17日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C5F35"/>
    <w:multiLevelType w:val="singleLevel"/>
    <w:tmpl w:val="7EFC5F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ODJjYWE3MTJjMzY0MmEwMzNjYjI1OTYwMWJlYmMifQ=="/>
  </w:docVars>
  <w:rsids>
    <w:rsidRoot w:val="332F7443"/>
    <w:rsid w:val="063876A4"/>
    <w:rsid w:val="0FBE7C5D"/>
    <w:rsid w:val="155618F4"/>
    <w:rsid w:val="20AE1A8D"/>
    <w:rsid w:val="218E2416"/>
    <w:rsid w:val="234B6811"/>
    <w:rsid w:val="27FF7E84"/>
    <w:rsid w:val="28BC5C9F"/>
    <w:rsid w:val="28FF169C"/>
    <w:rsid w:val="2942039A"/>
    <w:rsid w:val="2A2D4302"/>
    <w:rsid w:val="2BDB1C20"/>
    <w:rsid w:val="2BEC66B7"/>
    <w:rsid w:val="2EFD31FE"/>
    <w:rsid w:val="2FF3947A"/>
    <w:rsid w:val="307961C5"/>
    <w:rsid w:val="332F7443"/>
    <w:rsid w:val="34962A2E"/>
    <w:rsid w:val="3773279F"/>
    <w:rsid w:val="39BE120E"/>
    <w:rsid w:val="39FD9B26"/>
    <w:rsid w:val="3BE9A277"/>
    <w:rsid w:val="3D5FD2E2"/>
    <w:rsid w:val="3F7FEAF9"/>
    <w:rsid w:val="3FBF804A"/>
    <w:rsid w:val="3FCF340A"/>
    <w:rsid w:val="40FF79FF"/>
    <w:rsid w:val="44FC71CE"/>
    <w:rsid w:val="4DA92202"/>
    <w:rsid w:val="4DFB44D6"/>
    <w:rsid w:val="4F734876"/>
    <w:rsid w:val="536EDE65"/>
    <w:rsid w:val="53FA6788"/>
    <w:rsid w:val="57713D91"/>
    <w:rsid w:val="578E1189"/>
    <w:rsid w:val="57E39D0F"/>
    <w:rsid w:val="5D1F3F5B"/>
    <w:rsid w:val="5D7EA290"/>
    <w:rsid w:val="5F2E261E"/>
    <w:rsid w:val="615A2B93"/>
    <w:rsid w:val="629254BF"/>
    <w:rsid w:val="63996A94"/>
    <w:rsid w:val="64497CFF"/>
    <w:rsid w:val="64AF414A"/>
    <w:rsid w:val="679A4358"/>
    <w:rsid w:val="67BF2621"/>
    <w:rsid w:val="67EFC7A7"/>
    <w:rsid w:val="69B33A80"/>
    <w:rsid w:val="69FAF19D"/>
    <w:rsid w:val="6B7F0F69"/>
    <w:rsid w:val="6BBC2A03"/>
    <w:rsid w:val="6CFF8A50"/>
    <w:rsid w:val="6FBB4EF8"/>
    <w:rsid w:val="6FFEFFA5"/>
    <w:rsid w:val="738513AB"/>
    <w:rsid w:val="738E3CF4"/>
    <w:rsid w:val="73FFA634"/>
    <w:rsid w:val="746F3787"/>
    <w:rsid w:val="74710012"/>
    <w:rsid w:val="74FF6BD2"/>
    <w:rsid w:val="75BF74EE"/>
    <w:rsid w:val="75FE8660"/>
    <w:rsid w:val="75FFF20C"/>
    <w:rsid w:val="767F5F73"/>
    <w:rsid w:val="76CB2E2F"/>
    <w:rsid w:val="76FFD645"/>
    <w:rsid w:val="77DE3478"/>
    <w:rsid w:val="77FC74B2"/>
    <w:rsid w:val="77FF67BA"/>
    <w:rsid w:val="79BF0913"/>
    <w:rsid w:val="7AFFE013"/>
    <w:rsid w:val="7BDB9E42"/>
    <w:rsid w:val="7DB07561"/>
    <w:rsid w:val="7E7F561A"/>
    <w:rsid w:val="7EBB999A"/>
    <w:rsid w:val="7EDCB58F"/>
    <w:rsid w:val="7F0DCF3F"/>
    <w:rsid w:val="7F3608CC"/>
    <w:rsid w:val="7F7D2AF7"/>
    <w:rsid w:val="7FB477E0"/>
    <w:rsid w:val="7FBA37D8"/>
    <w:rsid w:val="7FCF15B4"/>
    <w:rsid w:val="7FD9B988"/>
    <w:rsid w:val="7FDF47F2"/>
    <w:rsid w:val="7FDFF367"/>
    <w:rsid w:val="7FF54FA1"/>
    <w:rsid w:val="7FF6CF6E"/>
    <w:rsid w:val="7FFB2E8C"/>
    <w:rsid w:val="7FFD470F"/>
    <w:rsid w:val="87BF587E"/>
    <w:rsid w:val="87DF4F46"/>
    <w:rsid w:val="9BCDA78A"/>
    <w:rsid w:val="9FFB028F"/>
    <w:rsid w:val="AB992B4D"/>
    <w:rsid w:val="ABBD5DEB"/>
    <w:rsid w:val="AE9BCD69"/>
    <w:rsid w:val="AECA189C"/>
    <w:rsid w:val="AFCB669D"/>
    <w:rsid w:val="AFCF7002"/>
    <w:rsid w:val="B439A760"/>
    <w:rsid w:val="B9CB7724"/>
    <w:rsid w:val="BB7F61CE"/>
    <w:rsid w:val="BCD75502"/>
    <w:rsid w:val="BD7B9916"/>
    <w:rsid w:val="BE5A3991"/>
    <w:rsid w:val="BE6EBDC3"/>
    <w:rsid w:val="BED1B6F5"/>
    <w:rsid w:val="BF770E96"/>
    <w:rsid w:val="BFDD79F9"/>
    <w:rsid w:val="BFF432B1"/>
    <w:rsid w:val="C08AC20F"/>
    <w:rsid w:val="C7FFB3EE"/>
    <w:rsid w:val="CCF74CDB"/>
    <w:rsid w:val="CFCF95B7"/>
    <w:rsid w:val="CFF9E4B4"/>
    <w:rsid w:val="D1FD7C72"/>
    <w:rsid w:val="D7FB98ED"/>
    <w:rsid w:val="D9759764"/>
    <w:rsid w:val="DA5E9F67"/>
    <w:rsid w:val="DA9B1ADB"/>
    <w:rsid w:val="DBFD50E3"/>
    <w:rsid w:val="DCF10D66"/>
    <w:rsid w:val="DE7FFEA1"/>
    <w:rsid w:val="DEFB248F"/>
    <w:rsid w:val="DFDAADEF"/>
    <w:rsid w:val="DFDB1CB3"/>
    <w:rsid w:val="DFFB967C"/>
    <w:rsid w:val="DFFF65DA"/>
    <w:rsid w:val="E533C6D6"/>
    <w:rsid w:val="E73EFE5D"/>
    <w:rsid w:val="E7FF5BA9"/>
    <w:rsid w:val="EB7B4652"/>
    <w:rsid w:val="EBBE3FFE"/>
    <w:rsid w:val="EBFAA960"/>
    <w:rsid w:val="ECF39EB0"/>
    <w:rsid w:val="EDDB8160"/>
    <w:rsid w:val="EE756E54"/>
    <w:rsid w:val="EED72F62"/>
    <w:rsid w:val="EEF31050"/>
    <w:rsid w:val="EFCD518F"/>
    <w:rsid w:val="EFDBFFB8"/>
    <w:rsid w:val="EFE6DFEA"/>
    <w:rsid w:val="F2DF7405"/>
    <w:rsid w:val="F4D6808C"/>
    <w:rsid w:val="F51CA330"/>
    <w:rsid w:val="F57F6E18"/>
    <w:rsid w:val="F5A32847"/>
    <w:rsid w:val="F5FCA488"/>
    <w:rsid w:val="F61EF5C5"/>
    <w:rsid w:val="F69E3B30"/>
    <w:rsid w:val="F6FF3B1B"/>
    <w:rsid w:val="F77D50BF"/>
    <w:rsid w:val="F7C9E7CB"/>
    <w:rsid w:val="F7F5CE24"/>
    <w:rsid w:val="F97A01D8"/>
    <w:rsid w:val="F99B61F4"/>
    <w:rsid w:val="F9FFFA84"/>
    <w:rsid w:val="FB8FBE10"/>
    <w:rsid w:val="FB9F212A"/>
    <w:rsid w:val="FBF7DFAE"/>
    <w:rsid w:val="FD9B4DC2"/>
    <w:rsid w:val="FDCF6396"/>
    <w:rsid w:val="FDE78CA3"/>
    <w:rsid w:val="FDFD51C6"/>
    <w:rsid w:val="FDFD758C"/>
    <w:rsid w:val="FEFB25E0"/>
    <w:rsid w:val="FEFBEEEB"/>
    <w:rsid w:val="FEFECE95"/>
    <w:rsid w:val="FF576E50"/>
    <w:rsid w:val="FF67538E"/>
    <w:rsid w:val="FF7C00C7"/>
    <w:rsid w:val="FF7DF4F2"/>
    <w:rsid w:val="FF7F8CA7"/>
    <w:rsid w:val="FFBF1EE8"/>
    <w:rsid w:val="FFCF6EC9"/>
    <w:rsid w:val="FFCFF5BB"/>
    <w:rsid w:val="FFFD1B30"/>
    <w:rsid w:val="FFFD4FF3"/>
    <w:rsid w:val="FFFF4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2963</Words>
  <Characters>3136</Characters>
  <Lines>0</Lines>
  <Paragraphs>0</Paragraphs>
  <TotalTime>15</TotalTime>
  <ScaleCrop>false</ScaleCrop>
  <LinksUpToDate>false</LinksUpToDate>
  <CharactersWithSpaces>3137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2023-01-18T23:17:00Z</dcterms:created>
  <dc:creator>user</dc:creator>
  <cp:lastModifiedBy>shuoxuan</cp:lastModifiedBy>
  <cp:lastPrinted>2023-01-21T02:07:00Z</cp:lastPrinted>
  <dcterms:modified xsi:type="dcterms:W3CDTF">2026-01-28T08:08:48Z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BCC377F89878F8F5B3168767D525E853_42</vt:lpwstr>
  </property>
  <property fmtid="{D5CDD505-2E9C-101B-9397-08002B2CF9AE}" pid="4" name="KSOTemplateDocerSaveRecord">
    <vt:lpwstr>eyJoZGlkIjoiOTkyNDYxNzgyMGI5ZGE5N2I0YjQ1ZGJiYjA4ZGMyMjciLCJ1c2VySWQiOiI5MDIwNTMxNzAifQ==</vt:lpwstr>
  </property>
</Properties>
</file>