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lang w:val="en-US" w:eastAsia="zh-CN"/>
        </w:rPr>
      </w:pPr>
      <w:bookmarkStart w:id="11" w:name="_GoBack"/>
      <w:bookmarkEnd w:id="11"/>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枣庄市文化和旅游局2023年政府信息公开工作年度报告</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ascii="仿宋_GB2312" w:eastAsia="仿宋_GB2312" w:cs="仿宋_GB2312"/>
          <w:b/>
          <w:bCs/>
          <w:sz w:val="32"/>
          <w:szCs w:val="32"/>
          <w:shd w:val="clear" w:color="auto" w:fill="FFFFFF"/>
        </w:rPr>
      </w:pPr>
    </w:p>
    <w:p>
      <w:pPr>
        <w:pStyle w:val="4"/>
        <w:keepNext w:val="0"/>
        <w:keepLines w:val="0"/>
        <w:widowControl/>
        <w:suppressLineNumbers w:val="0"/>
        <w:shd w:val="clear" w:color="auto" w:fill="FFFFFF"/>
        <w:spacing w:before="274" w:beforeAutospacing="0" w:after="274" w:afterAutospacing="0" w:line="576" w:lineRule="atLeast"/>
        <w:ind w:left="0" w:firstLine="420"/>
        <w:jc w:val="left"/>
        <w:rPr>
          <w:rFonts w:ascii="仿宋_GB2312" w:eastAsia="仿宋_GB2312" w:cs="仿宋_GB2312"/>
          <w:sz w:val="32"/>
          <w:szCs w:val="32"/>
          <w:shd w:val="clear" w:color="auto" w:fill="FFFFFF"/>
        </w:rPr>
      </w:pPr>
    </w:p>
    <w:p>
      <w:pPr>
        <w:pStyle w:val="4"/>
        <w:keepNext w:val="0"/>
        <w:keepLines w:val="0"/>
        <w:widowControl/>
        <w:suppressLineNumbers w:val="0"/>
        <w:shd w:val="clear" w:color="auto" w:fill="FFFFFF"/>
        <w:spacing w:before="274" w:beforeAutospacing="0" w:after="274" w:afterAutospacing="0" w:line="576" w:lineRule="atLeast"/>
        <w:ind w:firstLine="640" w:firstLineChars="200"/>
        <w:jc w:val="both"/>
      </w:pPr>
      <w:r>
        <w:rPr>
          <w:rFonts w:ascii="仿宋_GB2312" w:eastAsia="仿宋_GB2312" w:cs="仿宋_GB2312"/>
          <w:sz w:val="32"/>
          <w:szCs w:val="32"/>
          <w:shd w:val="clear" w:color="auto" w:fill="FFFFFF"/>
        </w:rPr>
        <w:t>本报告根据《中华人民共和国政府信息公开条例》（以下简称《条例》）要求，结合</w:t>
      </w:r>
      <w:r>
        <w:rPr>
          <w:rFonts w:hint="eastAsia" w:ascii="仿宋_GB2312" w:hAnsi="Calibri" w:eastAsia="仿宋_GB2312" w:cs="仿宋_GB2312"/>
          <w:sz w:val="32"/>
          <w:szCs w:val="32"/>
          <w:shd w:val="clear" w:color="auto" w:fill="FFFFFF"/>
        </w:rPr>
        <w:t>202</w:t>
      </w:r>
      <w:r>
        <w:rPr>
          <w:rFonts w:hint="eastAsia" w:ascii="仿宋_GB2312" w:hAnsi="Calibri" w:eastAsia="仿宋_GB2312" w:cs="仿宋_GB2312"/>
          <w:sz w:val="32"/>
          <w:szCs w:val="32"/>
          <w:shd w:val="clear" w:color="auto" w:fill="FFFFFF"/>
          <w:lang w:val="en-US" w:eastAsia="zh-CN"/>
        </w:rPr>
        <w:t>3</w:t>
      </w:r>
      <w:r>
        <w:rPr>
          <w:rFonts w:hint="eastAsia" w:ascii="仿宋_GB2312" w:eastAsia="仿宋_GB2312" w:cs="仿宋_GB2312"/>
          <w:sz w:val="32"/>
          <w:szCs w:val="32"/>
          <w:shd w:val="clear" w:color="auto" w:fill="FFFFFF"/>
        </w:rPr>
        <w:t>年枣庄市文化和旅游局政府信息公开工作实际编制而成。内容包括总体情况、主动公开政府信息情况、收到和处理政府信息公开申请情况、政府信息公开行政复议、行政诉讼情况、存在的主要问题及改进情况、其他需要报告的事项，以及相关指标统计附表、附图等。本年度报告中所列数据统计期限从</w:t>
      </w:r>
      <w:r>
        <w:rPr>
          <w:rFonts w:hint="eastAsia" w:ascii="仿宋_GB2312" w:hAnsi="Calibri" w:eastAsia="仿宋_GB2312" w:cs="仿宋_GB2312"/>
          <w:sz w:val="32"/>
          <w:szCs w:val="32"/>
          <w:shd w:val="clear" w:color="auto" w:fill="FFFFFF"/>
        </w:rPr>
        <w:t>202</w:t>
      </w:r>
      <w:r>
        <w:rPr>
          <w:rFonts w:hint="eastAsia" w:ascii="仿宋_GB2312" w:hAnsi="Calibri" w:eastAsia="仿宋_GB2312" w:cs="仿宋_GB2312"/>
          <w:sz w:val="32"/>
          <w:szCs w:val="32"/>
          <w:shd w:val="clear" w:color="auto" w:fill="FFFFFF"/>
          <w:lang w:val="en-US" w:eastAsia="zh-CN"/>
        </w:rPr>
        <w:t>3</w:t>
      </w:r>
      <w:r>
        <w:rPr>
          <w:rFonts w:hint="eastAsia" w:ascii="仿宋_GB2312" w:eastAsia="仿宋_GB2312" w:cs="仿宋_GB2312"/>
          <w:sz w:val="32"/>
          <w:szCs w:val="32"/>
          <w:shd w:val="clear" w:color="auto" w:fill="FFFFFF"/>
        </w:rPr>
        <w:t>年</w:t>
      </w:r>
      <w:r>
        <w:rPr>
          <w:rFonts w:hint="eastAsia" w:ascii="仿宋_GB2312" w:hAnsi="Calibri" w:eastAsia="仿宋_GB2312" w:cs="仿宋_GB2312"/>
          <w:sz w:val="32"/>
          <w:szCs w:val="32"/>
          <w:shd w:val="clear" w:color="auto" w:fill="FFFFFF"/>
        </w:rPr>
        <w:t>1</w:t>
      </w:r>
      <w:r>
        <w:rPr>
          <w:rFonts w:hint="eastAsia" w:ascii="仿宋_GB2312" w:eastAsia="仿宋_GB2312" w:cs="仿宋_GB2312"/>
          <w:sz w:val="32"/>
          <w:szCs w:val="32"/>
          <w:shd w:val="clear" w:color="auto" w:fill="FFFFFF"/>
        </w:rPr>
        <w:t>月</w:t>
      </w:r>
      <w:r>
        <w:rPr>
          <w:rFonts w:hint="eastAsia" w:ascii="仿宋_GB2312" w:hAnsi="Calibri" w:eastAsia="仿宋_GB2312" w:cs="仿宋_GB2312"/>
          <w:sz w:val="32"/>
          <w:szCs w:val="32"/>
          <w:shd w:val="clear" w:color="auto" w:fill="FFFFFF"/>
        </w:rPr>
        <w:t>1</w:t>
      </w:r>
      <w:r>
        <w:rPr>
          <w:rFonts w:hint="eastAsia" w:ascii="仿宋_GB2312" w:eastAsia="仿宋_GB2312" w:cs="仿宋_GB2312"/>
          <w:sz w:val="32"/>
          <w:szCs w:val="32"/>
          <w:shd w:val="clear" w:color="auto" w:fill="FFFFFF"/>
        </w:rPr>
        <w:t>日到</w:t>
      </w:r>
      <w:r>
        <w:rPr>
          <w:rFonts w:hint="eastAsia" w:ascii="仿宋_GB2312" w:hAnsi="Calibri" w:eastAsia="仿宋_GB2312" w:cs="仿宋_GB2312"/>
          <w:sz w:val="32"/>
          <w:szCs w:val="32"/>
          <w:shd w:val="clear" w:color="auto" w:fill="FFFFFF"/>
        </w:rPr>
        <w:t>12</w:t>
      </w:r>
      <w:r>
        <w:rPr>
          <w:rFonts w:hint="eastAsia" w:ascii="仿宋_GB2312" w:eastAsia="仿宋_GB2312" w:cs="仿宋_GB2312"/>
          <w:sz w:val="32"/>
          <w:szCs w:val="32"/>
          <w:shd w:val="clear" w:color="auto" w:fill="FFFFFF"/>
        </w:rPr>
        <w:t>月</w:t>
      </w:r>
      <w:r>
        <w:rPr>
          <w:rFonts w:hint="eastAsia" w:ascii="仿宋_GB2312" w:hAnsi="Calibri" w:eastAsia="仿宋_GB2312" w:cs="仿宋_GB2312"/>
          <w:sz w:val="32"/>
          <w:szCs w:val="32"/>
          <w:shd w:val="clear" w:color="auto" w:fill="FFFFFF"/>
        </w:rPr>
        <w:t>31</w:t>
      </w:r>
      <w:r>
        <w:rPr>
          <w:rFonts w:hint="eastAsia" w:ascii="仿宋_GB2312" w:eastAsia="仿宋_GB2312" w:cs="仿宋_GB2312"/>
          <w:sz w:val="32"/>
          <w:szCs w:val="32"/>
          <w:shd w:val="clear" w:color="auto" w:fill="FFFFFF"/>
        </w:rPr>
        <w:t>日止。本年度报告电子版可从枣庄市人民政府门户网站（</w:t>
      </w:r>
      <w:r>
        <w:rPr>
          <w:rFonts w:hint="eastAsia" w:ascii="仿宋_GB2312" w:hAnsi="Calibri" w:eastAsia="仿宋_GB2312" w:cs="仿宋_GB2312"/>
          <w:sz w:val="32"/>
          <w:szCs w:val="32"/>
          <w:shd w:val="clear" w:color="auto" w:fill="FFFFFF"/>
        </w:rPr>
        <w:t>http://www.zaozhuang.gov.cn/</w:t>
      </w:r>
      <w:r>
        <w:rPr>
          <w:rFonts w:hint="eastAsia" w:ascii="仿宋_GB2312" w:eastAsia="仿宋_GB2312" w:cs="仿宋_GB2312"/>
          <w:sz w:val="32"/>
          <w:szCs w:val="32"/>
          <w:shd w:val="clear" w:color="auto" w:fill="FFFFFF"/>
        </w:rPr>
        <w:t>）下载。如对本年度报告有疑问，请与枣庄市文化和旅游局联系（电话</w:t>
      </w:r>
      <w:r>
        <w:rPr>
          <w:rFonts w:hint="eastAsia" w:ascii="仿宋_GB2312" w:hAnsi="Calibri" w:eastAsia="仿宋_GB2312" w:cs="仿宋_GB2312"/>
          <w:sz w:val="32"/>
          <w:szCs w:val="32"/>
          <w:shd w:val="clear" w:color="auto" w:fill="FFFFFF"/>
        </w:rPr>
        <w:t>:0632—3355600</w:t>
      </w:r>
      <w:r>
        <w:rPr>
          <w:rFonts w:hint="eastAsia" w:ascii="仿宋_GB2312" w:eastAsia="仿宋_GB2312" w:cs="仿宋_GB2312"/>
          <w:sz w:val="32"/>
          <w:szCs w:val="32"/>
          <w:shd w:val="clear" w:color="auto" w:fill="FFFFFF"/>
        </w:rPr>
        <w:t>，电子邮箱</w:t>
      </w:r>
      <w:r>
        <w:rPr>
          <w:rFonts w:hint="eastAsia" w:ascii="仿宋_GB2312" w:hAnsi="Calibri" w:eastAsia="仿宋_GB2312" w:cs="仿宋_GB2312"/>
          <w:sz w:val="32"/>
          <w:szCs w:val="32"/>
          <w:shd w:val="clear" w:color="auto" w:fill="FFFFFF"/>
        </w:rPr>
        <w:t>:zzwljbgs@zz.shandong.cn</w:t>
      </w:r>
      <w:r>
        <w:rPr>
          <w:rFonts w:hint="eastAsia" w:ascii="仿宋_GB2312" w:eastAsia="仿宋_GB2312" w:cs="仿宋_GB2312"/>
          <w:sz w:val="32"/>
          <w:szCs w:val="32"/>
          <w:shd w:val="clear" w:color="auto" w:fill="FFFFFF"/>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spacing w:after="0" w:afterAutospacing="0" w:line="576" w:lineRule="atLeast"/>
        <w:ind w:left="0" w:firstLine="648"/>
        <w:jc w:val="left"/>
      </w:pPr>
      <w:r>
        <w:rPr>
          <w:rFonts w:ascii="黑体" w:hAnsi="宋体" w:eastAsia="黑体" w:cs="黑体"/>
          <w:i w:val="0"/>
          <w:color w:val="333333"/>
          <w:spacing w:val="0"/>
          <w:sz w:val="30"/>
          <w:szCs w:val="30"/>
          <w:shd w:val="clear" w:color="auto" w:fill="FFFFFF"/>
        </w:rPr>
        <w:t>一、</w:t>
      </w:r>
      <w:r>
        <w:rPr>
          <w:rFonts w:hint="eastAsia" w:ascii="黑体" w:hAnsi="宋体" w:eastAsia="黑体" w:cs="黑体"/>
          <w:i w:val="0"/>
          <w:color w:val="333333"/>
          <w:spacing w:val="0"/>
          <w:sz w:val="30"/>
          <w:szCs w:val="30"/>
          <w:shd w:val="clear" w:color="auto" w:fill="FFFFFF"/>
        </w:rPr>
        <w:t>总体情况</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spacing w:after="0" w:afterAutospacing="0" w:line="576" w:lineRule="atLeast"/>
        <w:ind w:left="0" w:firstLine="648"/>
        <w:jc w:val="both"/>
        <w:rPr>
          <w:rFonts w:hint="eastAsia" w:ascii="仿宋_GB2312" w:eastAsia="仿宋_GB2312" w:cs="仿宋_GB2312"/>
          <w:sz w:val="32"/>
          <w:szCs w:val="32"/>
          <w:shd w:val="clear" w:color="auto" w:fill="FFFFFF"/>
        </w:rPr>
      </w:pPr>
      <w:r>
        <w:rPr>
          <w:rFonts w:hint="eastAsia" w:ascii="仿宋_GB2312" w:eastAsia="仿宋_GB2312" w:cs="仿宋_GB2312"/>
          <w:sz w:val="32"/>
          <w:szCs w:val="32"/>
          <w:shd w:val="clear" w:color="auto" w:fill="FFFFFF"/>
          <w:lang w:val="en-US" w:eastAsia="zh-CN"/>
        </w:rPr>
        <w:t>2023年，</w:t>
      </w:r>
      <w:r>
        <w:rPr>
          <w:rFonts w:hint="eastAsia" w:ascii="仿宋_GB2312" w:eastAsia="仿宋_GB2312" w:cs="仿宋_GB2312"/>
          <w:sz w:val="32"/>
          <w:szCs w:val="32"/>
          <w:shd w:val="clear" w:color="auto" w:fill="FFFFFF"/>
        </w:rPr>
        <w:t>枣庄市文化和旅游局</w:t>
      </w:r>
      <w:r>
        <w:rPr>
          <w:rFonts w:hint="eastAsia" w:ascii="仿宋_GB2312" w:eastAsia="仿宋_GB2312" w:cs="仿宋_GB2312"/>
          <w:sz w:val="32"/>
          <w:szCs w:val="32"/>
          <w:shd w:val="clear" w:color="auto" w:fill="FFFFFF"/>
          <w:lang w:val="en-US" w:eastAsia="zh-CN"/>
        </w:rPr>
        <w:t>在枣庄市委、市政府正确领导下，以习近平新时代中国特色社会主义思想为指导，坚持以人民为中心，认真贯彻执行《中华人民共和国政府信息公开条例》和中央、省、市政府信息公开各项决策部署，不断深化政府信息公开，做到法定主动公开内容全部公开到位、政府信息公开申请依法办理、政府网站等平台管理规范有序，充分发挥了文化和旅游信息对人民群众生产、生活和经济社会活动的服务作用。</w:t>
      </w:r>
    </w:p>
    <w:p>
      <w:pPr>
        <w:pStyle w:val="4"/>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shd w:val="clear" w:color="auto" w:fill="FFFFFF"/>
        <w:spacing w:after="0" w:afterAutospacing="0" w:line="576" w:lineRule="atLeast"/>
        <w:ind w:left="0" w:firstLine="648"/>
        <w:jc w:val="left"/>
        <w:rPr>
          <w:rFonts w:ascii="方正楷体_GBK" w:hAnsi="方正楷体_GBK" w:eastAsia="方正楷体_GBK" w:cs="方正楷体_GBK"/>
          <w:i w:val="0"/>
          <w:color w:val="333333"/>
          <w:spacing w:val="0"/>
          <w:sz w:val="32"/>
          <w:szCs w:val="32"/>
          <w:shd w:val="clear" w:color="auto" w:fill="FFFFFF"/>
        </w:rPr>
      </w:pPr>
      <w:r>
        <w:rPr>
          <w:rFonts w:ascii="方正楷体_GBK" w:hAnsi="方正楷体_GBK" w:eastAsia="方正楷体_GBK" w:cs="方正楷体_GBK"/>
          <w:i w:val="0"/>
          <w:color w:val="333333"/>
          <w:spacing w:val="0"/>
          <w:sz w:val="32"/>
          <w:szCs w:val="32"/>
          <w:shd w:val="clear" w:color="auto" w:fill="FFFFFF"/>
        </w:rPr>
        <w:t>主动公开情况</w:t>
      </w:r>
    </w:p>
    <w:p>
      <w:pPr>
        <w:keepNext w:val="0"/>
        <w:keepLines w:val="0"/>
        <w:widowControl/>
        <w:suppressLineNumbers w:val="0"/>
        <w:ind w:firstLine="640" w:firstLineChars="200"/>
        <w:jc w:val="left"/>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2023年，枣庄市文化和旅游局通过枣庄市人民政府门户网站信息公开专栏公开政策文件、专项规划、行政处罚事项公示、市级部门预决算、部门办公会议、建议提案办理、有关解读文件等信息297条；做好政民互动回应社会关切。在意见征集方面，注重面向社会公开征集公众对重大决策制定的意见建议，并及时反馈。在政策发布方面，注重多种形式解读，提高政策透明度，增进公众的理解和认同，确保政策落实落地。在枣庄市文旅局官方网站，及时回应群众留言关切问题55次。</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p>
    <w:p>
      <w:pPr>
        <w:pStyle w:val="2"/>
        <w:rPr>
          <w:rFonts w:hint="eastAsia" w:ascii="仿宋_GB2312" w:hAnsi="Calibri" w:eastAsia="仿宋_GB2312" w:cs="仿宋_GB2312"/>
          <w:kern w:val="0"/>
          <w:sz w:val="32"/>
          <w:szCs w:val="32"/>
          <w:shd w:val="clear" w:color="auto" w:fill="FFFFFF"/>
          <w:lang w:val="en-US" w:eastAsia="zh-CN" w:bidi="ar"/>
        </w:rPr>
      </w:pPr>
    </w:p>
    <w:p>
      <w:pPr>
        <w:pStyle w:val="4"/>
        <w:keepNext w:val="0"/>
        <w:keepLines w:val="0"/>
        <w:widowControl/>
        <w:suppressLineNumbers w:val="0"/>
        <w:jc w:val="both"/>
      </w:pPr>
      <w:r>
        <w:rPr>
          <w:rFonts w:hint="eastAsia"/>
        </w:rPr>
        <w:drawing>
          <wp:inline distT="0" distB="0" distL="114300" distR="114300">
            <wp:extent cx="5271770" cy="4064635"/>
            <wp:effectExtent l="0" t="0" r="5080" b="12065"/>
            <wp:docPr id="1" name="图片 13" descr="截图_选择区域_2024011810220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3" descr="截图_选择区域_20240118102201"/>
                    <pic:cNvPicPr>
                      <a:picLocks noChangeAspect="true"/>
                    </pic:cNvPicPr>
                  </pic:nvPicPr>
                  <pic:blipFill>
                    <a:blip r:embed="rId4"/>
                    <a:stretch>
                      <a:fillRect/>
                    </a:stretch>
                  </pic:blipFill>
                  <pic:spPr>
                    <a:xfrm>
                      <a:off x="0" y="0"/>
                      <a:ext cx="5271770" cy="4064635"/>
                    </a:xfrm>
                    <a:prstGeom prst="rect">
                      <a:avLst/>
                    </a:prstGeom>
                    <a:noFill/>
                    <a:ln>
                      <a:noFill/>
                    </a:ln>
                  </pic:spPr>
                </pic:pic>
              </a:graphicData>
            </a:graphic>
          </wp:inline>
        </w:drawing>
      </w:r>
    </w:p>
    <w:p>
      <w:pPr>
        <w:pStyle w:val="4"/>
        <w:keepNext w:val="0"/>
        <w:keepLines w:val="0"/>
        <w:widowControl/>
        <w:suppressLineNumbers w:val="0"/>
        <w:jc w:val="center"/>
        <w:rPr>
          <w:rFonts w:hint="eastAsia" w:eastAsia="宋体"/>
          <w:lang w:eastAsia="zh-CN"/>
        </w:rPr>
      </w:pPr>
      <w:r>
        <w:rPr>
          <w:rFonts w:hint="eastAsia" w:eastAsia="宋体"/>
          <w:lang w:eastAsia="zh-CN"/>
        </w:rPr>
        <w:drawing>
          <wp:inline distT="0" distB="0" distL="114300" distR="114300">
            <wp:extent cx="5267325" cy="3900170"/>
            <wp:effectExtent l="0" t="0" r="9525" b="5080"/>
            <wp:docPr id="2" name="图片 15" descr="截图_选择区域_2024012613581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15" descr="截图_选择区域_20240126135818"/>
                    <pic:cNvPicPr>
                      <a:picLocks noChangeAspect="true"/>
                    </pic:cNvPicPr>
                  </pic:nvPicPr>
                  <pic:blipFill>
                    <a:blip r:embed="rId5"/>
                    <a:stretch>
                      <a:fillRect/>
                    </a:stretch>
                  </pic:blipFill>
                  <pic:spPr>
                    <a:xfrm>
                      <a:off x="0" y="0"/>
                      <a:ext cx="5267325" cy="3900170"/>
                    </a:xfrm>
                    <a:prstGeom prst="rect">
                      <a:avLst/>
                    </a:prstGeom>
                    <a:noFill/>
                    <a:ln>
                      <a:noFill/>
                    </a:ln>
                  </pic:spPr>
                </pic:pic>
              </a:graphicData>
            </a:graphic>
          </wp:inline>
        </w:drawing>
      </w:r>
    </w:p>
    <w:p>
      <w:pPr>
        <w:pStyle w:val="4"/>
        <w:keepNext w:val="0"/>
        <w:keepLines w:val="0"/>
        <w:pageBreakBefore w:val="0"/>
        <w:widowControl/>
        <w:suppressLineNumbers w:val="0"/>
        <w:shd w:val="clear" w:color="auto" w:fill="FFFFFF"/>
        <w:spacing w:before="274" w:beforeAutospacing="0" w:after="274" w:afterAutospacing="0" w:line="576" w:lineRule="atLeast"/>
        <w:jc w:val="both"/>
        <w:rPr>
          <w:rFonts w:ascii="楷体" w:hAnsi="楷体" w:eastAsia="楷体" w:cs="楷体"/>
          <w:color w:val="333333"/>
          <w:sz w:val="32"/>
          <w:szCs w:val="32"/>
          <w:shd w:val="clear" w:color="auto" w:fill="FFFFFF"/>
        </w:rPr>
      </w:pPr>
    </w:p>
    <w:p>
      <w:pPr>
        <w:pStyle w:val="4"/>
        <w:keepNext w:val="0"/>
        <w:keepLines w:val="0"/>
        <w:pageBreakBefore w:val="0"/>
        <w:widowControl/>
        <w:suppressLineNumbers w:val="0"/>
        <w:shd w:val="clear" w:color="auto" w:fill="FFFFFF"/>
        <w:spacing w:before="274" w:beforeAutospacing="0" w:after="274" w:afterAutospacing="0" w:line="576" w:lineRule="atLeast"/>
        <w:ind w:firstLine="640" w:firstLineChars="200"/>
        <w:jc w:val="both"/>
      </w:pPr>
      <w:r>
        <w:rPr>
          <w:rFonts w:ascii="楷体" w:hAnsi="楷体" w:eastAsia="楷体" w:cs="楷体"/>
          <w:color w:val="333333"/>
          <w:sz w:val="32"/>
          <w:szCs w:val="32"/>
          <w:shd w:val="clear" w:color="auto" w:fill="FFFFFF"/>
        </w:rPr>
        <w:t>（二）依申请公开</w:t>
      </w:r>
      <w:r>
        <w:rPr>
          <w:rFonts w:hint="eastAsia" w:ascii="楷体" w:hAnsi="楷体" w:eastAsia="楷体" w:cs="楷体"/>
          <w:color w:val="333333"/>
          <w:sz w:val="32"/>
          <w:szCs w:val="32"/>
          <w:shd w:val="clear" w:color="auto" w:fill="FFFFFF"/>
          <w:lang w:eastAsia="zh-CN"/>
        </w:rPr>
        <w:t>办理</w:t>
      </w:r>
      <w:r>
        <w:rPr>
          <w:rFonts w:ascii="楷体" w:hAnsi="楷体" w:eastAsia="楷体" w:cs="楷体"/>
          <w:color w:val="333333"/>
          <w:sz w:val="32"/>
          <w:szCs w:val="32"/>
          <w:shd w:val="clear" w:color="auto" w:fill="FFFFFF"/>
        </w:rPr>
        <w:t>情况。</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坚持以人民为中心，认真贯彻落实《中华人民共和国政府信息公开条例》、及《枣庄市人民政府办公室关于规范政府信息依申请公开办理程序的实施意见》要求，严格落实依申请公开办理流程，依照《政府信息公开申请答复告知书模板》，依法规范答复政府信息公开申请，保障群众知情权。2023年，我局共新收政府信息公开申请6件，相比2022年超出5件。没有出现因政府信息回复不规范、不及时引发的行政复议或行政诉讼。</w:t>
      </w:r>
    </w:p>
    <w:p>
      <w:pPr>
        <w:pStyle w:val="4"/>
        <w:keepNext w:val="0"/>
        <w:keepLines w:val="0"/>
        <w:pageBreakBefore w:val="0"/>
        <w:widowControl/>
        <w:suppressLineNumbers w:val="0"/>
        <w:shd w:val="clear" w:color="auto" w:fill="FFFFFF"/>
        <w:spacing w:before="274" w:beforeAutospacing="0" w:after="274" w:afterAutospacing="0" w:line="576" w:lineRule="atLeast"/>
        <w:ind w:firstLine="640" w:firstLineChars="200"/>
        <w:jc w:val="both"/>
      </w:pPr>
      <w:r>
        <w:rPr>
          <w:rFonts w:hint="eastAsia" w:ascii="楷体" w:hAnsi="楷体" w:eastAsia="楷体" w:cs="楷体"/>
          <w:color w:val="333333"/>
          <w:sz w:val="32"/>
          <w:szCs w:val="32"/>
          <w:shd w:val="clear" w:color="auto" w:fill="FFFFFF"/>
        </w:rPr>
        <w:t>（三）政府信息管理情况。</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枣庄市文化和旅游局对政府信息公开有关要求落实到日常具体工作中。一是根据政务公开工作要点，修订完善2023年度政府信息主动公开基本目录。二是通过枣庄市文化和旅游局网站等平台及时主动公开信息、发布文件，根据文件的时效情况进行实时整理更新，实现对资源的全生命周期管理。三是对现存规范性文件进行梳理，配合政府文件库的建设。四是制定政务信息公开审查制度制度，进一步加强对网站信息的保密检查，严格落实信息公开审查制度，严格审查涉密信息，确保涉密信息不上网。</w:t>
      </w:r>
    </w:p>
    <w:p>
      <w:pPr>
        <w:pStyle w:val="2"/>
        <w:spacing w:line="240" w:lineRule="auto"/>
        <w:ind w:left="0" w:leftChars="0" w:firstLine="0" w:firstLineChars="0"/>
        <w:rPr>
          <w:rFonts w:hint="eastAsia"/>
        </w:rPr>
      </w:pPr>
      <w:r>
        <w:rPr>
          <w:rFonts w:hint="eastAsia"/>
        </w:rPr>
        <w:drawing>
          <wp:inline distT="0" distB="0" distL="114300" distR="114300">
            <wp:extent cx="5264150" cy="4043045"/>
            <wp:effectExtent l="0" t="0" r="12700" b="14605"/>
            <wp:docPr id="3" name="图片 16" descr="截图_选择区域_20240126140002"/>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16" descr="截图_选择区域_20240126140002"/>
                    <pic:cNvPicPr>
                      <a:picLocks noChangeAspect="true"/>
                    </pic:cNvPicPr>
                  </pic:nvPicPr>
                  <pic:blipFill>
                    <a:blip r:embed="rId6"/>
                    <a:stretch>
                      <a:fillRect/>
                    </a:stretch>
                  </pic:blipFill>
                  <pic:spPr>
                    <a:xfrm>
                      <a:off x="0" y="0"/>
                      <a:ext cx="5264150" cy="4043045"/>
                    </a:xfrm>
                    <a:prstGeom prst="rect">
                      <a:avLst/>
                    </a:prstGeom>
                    <a:noFill/>
                    <a:ln>
                      <a:noFill/>
                    </a:ln>
                  </pic:spPr>
                </pic:pic>
              </a:graphicData>
            </a:graphic>
          </wp:inline>
        </w:drawing>
      </w:r>
    </w:p>
    <w:p>
      <w:pPr>
        <w:keepNext w:val="0"/>
        <w:keepLines w:val="0"/>
        <w:widowControl/>
        <w:suppressLineNumbers w:val="0"/>
        <w:jc w:val="left"/>
        <w:rPr>
          <w:color w:val="FF0000"/>
        </w:rPr>
      </w:pP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2023年我局未制定部门规范性文件，保有往年制发规范性文件1件，继续有效，无其它规范性文件。</w:t>
      </w:r>
    </w:p>
    <w:p>
      <w:pPr>
        <w:pStyle w:val="4"/>
        <w:keepNext w:val="0"/>
        <w:keepLines w:val="0"/>
        <w:widowControl/>
        <w:suppressLineNumbers w:val="0"/>
        <w:spacing w:before="100" w:beforeAutospacing="1" w:after="0" w:afterAutospacing="0" w:line="576" w:lineRule="atLeast"/>
        <w:ind w:right="0"/>
        <w:jc w:val="left"/>
        <w:rPr>
          <w:rFonts w:hint="eastAsia" w:ascii="仿宋_GB2312" w:eastAsia="仿宋_GB2312" w:cs="仿宋_GB2312"/>
          <w:sz w:val="32"/>
          <w:szCs w:val="32"/>
          <w:lang w:eastAsia="zh-CN"/>
        </w:rPr>
      </w:pPr>
      <w:r>
        <w:rPr>
          <w:rFonts w:hint="eastAsia" w:ascii="仿宋_GB2312" w:eastAsia="仿宋_GB2312" w:cs="仿宋_GB2312"/>
          <w:sz w:val="32"/>
          <w:szCs w:val="32"/>
          <w:lang w:eastAsia="zh-CN"/>
        </w:rPr>
        <w:drawing>
          <wp:inline distT="0" distB="0" distL="114300" distR="114300">
            <wp:extent cx="5265420" cy="3740785"/>
            <wp:effectExtent l="0" t="0" r="11430" b="12065"/>
            <wp:docPr id="4" name="图片 17" descr="截图_选择区域_20240126140200"/>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图片 17" descr="截图_选择区域_20240126140200"/>
                    <pic:cNvPicPr>
                      <a:picLocks noChangeAspect="true"/>
                    </pic:cNvPicPr>
                  </pic:nvPicPr>
                  <pic:blipFill>
                    <a:blip r:embed="rId7"/>
                    <a:stretch>
                      <a:fillRect/>
                    </a:stretch>
                  </pic:blipFill>
                  <pic:spPr>
                    <a:xfrm>
                      <a:off x="0" y="0"/>
                      <a:ext cx="5265420" cy="3740785"/>
                    </a:xfrm>
                    <a:prstGeom prst="rect">
                      <a:avLst/>
                    </a:prstGeom>
                    <a:noFill/>
                    <a:ln>
                      <a:noFill/>
                    </a:ln>
                  </pic:spPr>
                </pic:pic>
              </a:graphicData>
            </a:graphic>
          </wp:inline>
        </w:drawing>
      </w:r>
    </w:p>
    <w:p>
      <w:pPr>
        <w:pStyle w:val="4"/>
        <w:keepNext w:val="0"/>
        <w:keepLines w:val="0"/>
        <w:pageBreakBefore w:val="0"/>
        <w:widowControl/>
        <w:suppressLineNumbers w:val="0"/>
        <w:shd w:val="clear" w:color="auto" w:fill="FFFFFF"/>
        <w:spacing w:before="274" w:beforeAutospacing="0" w:after="274" w:afterAutospacing="0" w:line="576" w:lineRule="atLeast"/>
        <w:ind w:left="0" w:firstLine="634"/>
        <w:jc w:val="both"/>
        <w:rPr>
          <w:rFonts w:hint="eastAsia" w:ascii="楷体" w:hAnsi="楷体" w:eastAsia="楷体" w:cs="楷体"/>
          <w:color w:val="333333"/>
          <w:sz w:val="32"/>
          <w:szCs w:val="32"/>
          <w:shd w:val="clear" w:color="auto" w:fill="FFFFFF"/>
        </w:rPr>
      </w:pPr>
    </w:p>
    <w:p>
      <w:pPr>
        <w:pStyle w:val="4"/>
        <w:keepNext w:val="0"/>
        <w:keepLines w:val="0"/>
        <w:pageBreakBefore w:val="0"/>
        <w:widowControl/>
        <w:suppressLineNumbers w:val="0"/>
        <w:shd w:val="clear" w:color="auto" w:fill="FFFFFF"/>
        <w:spacing w:before="274" w:beforeAutospacing="0" w:after="274" w:afterAutospacing="0" w:line="576" w:lineRule="atLeast"/>
        <w:ind w:left="0" w:firstLine="634"/>
        <w:jc w:val="both"/>
      </w:pPr>
      <w:r>
        <w:rPr>
          <w:rFonts w:hint="eastAsia" w:ascii="楷体" w:hAnsi="楷体" w:eastAsia="楷体" w:cs="楷体"/>
          <w:color w:val="333333"/>
          <w:sz w:val="32"/>
          <w:szCs w:val="32"/>
          <w:shd w:val="clear" w:color="auto" w:fill="FFFFFF"/>
        </w:rPr>
        <w:t>（四）政府信息公开平台建设情况。</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市文化和旅游局坚持以便民、惠民、利民为出发点，以局官方网站、枣庄市人民政府门户网站的“信息公开”专栏和“文旅枣庄”微信公众号、政务微博等政务新媒体为主要抓手，扎实推进政务公开平台建设，扩大政务信息的传播力和影响力。</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2023年“文旅枣庄”微信公众号共计发送信息1246篇，阅读量35.4万人次，粉丝总数4.06万人，较去年增长0.56万人，枣庄市新媒体传播影响力排行榜4月第四名，5月第三名；“文旅枣庄”今日头条号共计发送信息1465篇，阅读量25.9万人次，粉丝总数1.07万人，较去年增长0.07万人，枣庄市新媒体传播影响力排行榜综合排名第五名；“文旅枣庄”官方微博号共计发送信息2217篇，阅读量604万人次，粉丝总数78.3万人，较去年增长7.9万人，枣庄市新媒体传播影响力排行榜综合排名第六名；“文旅枣庄”抖音短视频平台（抖音，视频号，微视，快手）共计发送视频1105篇，阅读量308万人次，粉丝总数2.14万人，较去年增长0.14万人。</w:t>
      </w:r>
    </w:p>
    <w:p>
      <w:pPr>
        <w:pStyle w:val="4"/>
        <w:keepNext w:val="0"/>
        <w:keepLines w:val="0"/>
        <w:widowControl/>
        <w:suppressLineNumbers w:val="0"/>
        <w:spacing w:before="100" w:beforeAutospacing="1" w:after="0" w:afterAutospacing="0" w:line="576" w:lineRule="atLeast"/>
        <w:ind w:left="0" w:right="0" w:firstLine="634"/>
        <w:jc w:val="left"/>
        <w:rPr>
          <w:rFonts w:hint="eastAsia" w:ascii="仿宋_GB2312" w:eastAsia="仿宋_GB2312" w:cs="仿宋_GB2312"/>
          <w:sz w:val="32"/>
          <w:szCs w:val="32"/>
        </w:rPr>
      </w:pPr>
    </w:p>
    <w:p>
      <w:pPr>
        <w:pStyle w:val="4"/>
        <w:keepNext w:val="0"/>
        <w:keepLines w:val="0"/>
        <w:widowControl/>
        <w:suppressLineNumbers w:val="0"/>
        <w:shd w:val="clear" w:color="auto" w:fill="FFFFFF"/>
        <w:spacing w:before="274" w:beforeAutospacing="0" w:after="274" w:afterAutospacing="0" w:line="576" w:lineRule="atLeast"/>
        <w:jc w:val="center"/>
      </w:pPr>
      <w:bookmarkStart w:id="0" w:name="_GoBack"/>
      <w:bookmarkEnd w:id="0"/>
      <w:r>
        <w:rPr>
          <w:shd w:val="clear" w:color="auto" w:fill="FFFFFF"/>
        </w:rPr>
        <w:drawing>
          <wp:inline distT="0" distB="0" distL="114300" distR="114300">
            <wp:extent cx="4064000" cy="3735705"/>
            <wp:effectExtent l="0" t="0" r="12700" b="17145"/>
            <wp:docPr id="5" name="图片 3" descr="U020230201529102677069.jp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图片 3" descr="U020230201529102677069.jpg"/>
                    <pic:cNvPicPr>
                      <a:picLocks noChangeAspect="true"/>
                    </pic:cNvPicPr>
                  </pic:nvPicPr>
                  <pic:blipFill>
                    <a:blip r:embed="rId8"/>
                    <a:stretch>
                      <a:fillRect/>
                    </a:stretch>
                  </pic:blipFill>
                  <pic:spPr>
                    <a:xfrm>
                      <a:off x="0" y="0"/>
                      <a:ext cx="4064000" cy="3735705"/>
                    </a:xfrm>
                    <a:prstGeom prst="rect">
                      <a:avLst/>
                    </a:prstGeom>
                    <a:noFill/>
                    <a:ln>
                      <a:noFill/>
                    </a:ln>
                  </pic:spPr>
                </pic:pic>
              </a:graphicData>
            </a:graphic>
          </wp:inline>
        </w:drawing>
      </w:r>
      <w:r>
        <w:rPr>
          <w:shd w:val="clear" w:color="auto" w:fill="FFFFFF"/>
        </w:rPr>
        <w:t>  </w:t>
      </w:r>
      <w:r>
        <w:rPr>
          <w:shd w:val="clear" w:color="auto" w:fill="FFFFFF"/>
        </w:rPr>
        <w:br w:type="textWrapping"/>
      </w:r>
    </w:p>
    <w:p>
      <w:pPr>
        <w:pStyle w:val="4"/>
        <w:keepNext w:val="0"/>
        <w:keepLines w:val="0"/>
        <w:pageBreakBefore w:val="0"/>
        <w:widowControl/>
        <w:suppressLineNumbers w:val="0"/>
        <w:shd w:val="clear" w:color="auto" w:fill="FFFFFF"/>
        <w:spacing w:before="274" w:beforeAutospacing="0" w:after="274" w:afterAutospacing="0" w:line="576" w:lineRule="atLeast"/>
        <w:ind w:left="0" w:firstLine="634"/>
        <w:jc w:val="both"/>
        <w:rPr>
          <w:rFonts w:hint="eastAsia" w:ascii="楷体" w:hAnsi="楷体" w:eastAsia="楷体" w:cs="楷体"/>
          <w:color w:val="333333"/>
          <w:sz w:val="32"/>
          <w:szCs w:val="32"/>
          <w:shd w:val="clear" w:color="auto" w:fill="FFFFFF"/>
        </w:rPr>
      </w:pPr>
    </w:p>
    <w:p>
      <w:pPr>
        <w:pStyle w:val="4"/>
        <w:keepNext w:val="0"/>
        <w:keepLines w:val="0"/>
        <w:pageBreakBefore w:val="0"/>
        <w:widowControl/>
        <w:suppressLineNumbers w:val="0"/>
        <w:shd w:val="clear" w:color="auto" w:fill="FFFFFF"/>
        <w:spacing w:before="274" w:beforeAutospacing="0" w:after="274" w:afterAutospacing="0" w:line="576" w:lineRule="atLeast"/>
        <w:ind w:left="0" w:firstLine="634"/>
        <w:jc w:val="both"/>
      </w:pPr>
      <w:r>
        <w:rPr>
          <w:rFonts w:hint="eastAsia" w:ascii="楷体" w:hAnsi="楷体" w:eastAsia="楷体" w:cs="楷体"/>
          <w:color w:val="333333"/>
          <w:sz w:val="32"/>
          <w:szCs w:val="32"/>
          <w:shd w:val="clear" w:color="auto" w:fill="FFFFFF"/>
        </w:rPr>
        <w:t>（五）监督保障情况。</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市文化和旅游局十分重视政务公开工作，成立了政府信息公开领导小组，明确了政府信息公开工作的组织领导体制和工作职责，严格落实责任，依法履行公开义务，强化管理和责任。我局从组织领导、公开内容、公开形式、公开期限、内容审核等方面对政府信息公开工作做出具体规定，进一步提高政府信息公开工作管理水平。持续加强信息公开培训和“政府开放日”活动开展。定期召开和收听省、市政务公开培训相关会议2次。</w:t>
      </w:r>
    </w:p>
    <w:p>
      <w:pPr>
        <w:pStyle w:val="2"/>
        <w:spacing w:line="240" w:lineRule="auto"/>
        <w:ind w:left="0" w:leftChars="0" w:firstLine="0" w:firstLineChars="0"/>
        <w:rPr>
          <w:rFonts w:hint="eastAsia"/>
        </w:rPr>
      </w:pPr>
      <w:r>
        <w:rPr>
          <w:rFonts w:hint="eastAsia"/>
        </w:rPr>
        <w:drawing>
          <wp:inline distT="0" distB="0" distL="114300" distR="114300">
            <wp:extent cx="5272405" cy="3856990"/>
            <wp:effectExtent l="0" t="0" r="4445" b="10160"/>
            <wp:docPr id="6" name="图片 18" descr="截图_选择区域_2024012614034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18" descr="截图_选择区域_20240126140343"/>
                    <pic:cNvPicPr>
                      <a:picLocks noChangeAspect="true"/>
                    </pic:cNvPicPr>
                  </pic:nvPicPr>
                  <pic:blipFill>
                    <a:blip r:embed="rId9"/>
                    <a:stretch>
                      <a:fillRect/>
                    </a:stretch>
                  </pic:blipFill>
                  <pic:spPr>
                    <a:xfrm>
                      <a:off x="0" y="0"/>
                      <a:ext cx="5272405" cy="3856990"/>
                    </a:xfrm>
                    <a:prstGeom prst="rect">
                      <a:avLst/>
                    </a:prstGeom>
                    <a:noFill/>
                    <a:ln>
                      <a:noFill/>
                    </a:ln>
                  </pic:spPr>
                </pic:pic>
              </a:graphicData>
            </a:graphic>
          </wp:inline>
        </w:drawing>
      </w:r>
    </w:p>
    <w:p>
      <w:pPr>
        <w:pStyle w:val="2"/>
        <w:spacing w:line="240" w:lineRule="auto"/>
        <w:ind w:left="0" w:leftChars="0" w:firstLine="0" w:firstLineChars="0"/>
        <w:rPr>
          <w:rFonts w:hint="eastAsia" w:eastAsia="黑体"/>
          <w:lang w:eastAsia="zh-CN"/>
        </w:rPr>
      </w:pPr>
      <w:r>
        <w:rPr>
          <w:rFonts w:hint="eastAsia" w:eastAsia="黑体"/>
          <w:lang w:eastAsia="zh-CN"/>
        </w:rPr>
        <w:drawing>
          <wp:inline distT="0" distB="0" distL="114300" distR="114300">
            <wp:extent cx="5265420" cy="3400425"/>
            <wp:effectExtent l="0" t="0" r="11430" b="9525"/>
            <wp:docPr id="7" name="图片 19" descr="截图_选择区域_20240126141409"/>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7" name="图片 19" descr="截图_选择区域_20240126141409"/>
                    <pic:cNvPicPr>
                      <a:picLocks noChangeAspect="true"/>
                    </pic:cNvPicPr>
                  </pic:nvPicPr>
                  <pic:blipFill>
                    <a:blip r:embed="rId10"/>
                    <a:stretch>
                      <a:fillRect/>
                    </a:stretch>
                  </pic:blipFill>
                  <pic:spPr>
                    <a:xfrm>
                      <a:off x="0" y="0"/>
                      <a:ext cx="5265420" cy="3400425"/>
                    </a:xfrm>
                    <a:prstGeom prst="rect">
                      <a:avLst/>
                    </a:prstGeom>
                    <a:noFill/>
                    <a:ln>
                      <a:noFill/>
                    </a:ln>
                  </pic:spPr>
                </pic:pic>
              </a:graphicData>
            </a:graphic>
          </wp:inline>
        </w:drawing>
      </w:r>
    </w:p>
    <w:p>
      <w:pPr>
        <w:pStyle w:val="2"/>
        <w:spacing w:line="240" w:lineRule="auto"/>
        <w:ind w:left="0" w:leftChars="0" w:firstLine="0" w:firstLineChars="0"/>
        <w:rPr>
          <w:rFonts w:hint="eastAsia"/>
        </w:rPr>
      </w:pPr>
    </w:p>
    <w:p>
      <w:pPr>
        <w:pStyle w:val="4"/>
        <w:keepNext w:val="0"/>
        <w:keepLines w:val="0"/>
        <w:pageBreakBefore w:val="0"/>
        <w:widowControl/>
        <w:suppressLineNumbers w:val="0"/>
        <w:shd w:val="clear" w:color="auto" w:fill="FFFFFF"/>
        <w:spacing w:before="274" w:beforeAutospacing="0" w:after="274" w:afterAutospacing="0" w:line="576" w:lineRule="atLeast"/>
        <w:ind w:left="0" w:firstLine="634"/>
        <w:jc w:val="both"/>
      </w:pPr>
      <w:r>
        <w:rPr>
          <w:rFonts w:hint="eastAsia" w:ascii="黑体" w:hAnsi="宋体" w:eastAsia="黑体" w:cs="黑体"/>
          <w:color w:val="333333"/>
          <w:sz w:val="32"/>
          <w:szCs w:val="32"/>
          <w:shd w:val="clear" w:color="auto" w:fill="FFFFFF"/>
        </w:rPr>
        <w:t>二、主动公开政府信息情况</w:t>
      </w:r>
    </w:p>
    <w:tbl>
      <w:tblPr>
        <w:tblStyle w:val="5"/>
        <w:tblW w:w="8820" w:type="dxa"/>
        <w:tblInd w:w="0" w:type="dxa"/>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Layout w:type="autofit"/>
        <w:tblCellMar>
          <w:top w:w="0" w:type="dxa"/>
          <w:left w:w="0" w:type="dxa"/>
          <w:bottom w:w="0" w:type="dxa"/>
          <w:right w:w="0" w:type="dxa"/>
        </w:tblCellMar>
      </w:tblPr>
      <w:tblGrid>
        <w:gridCol w:w="2035"/>
        <w:gridCol w:w="2051"/>
        <w:gridCol w:w="2051"/>
        <w:gridCol w:w="2683"/>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45" w:hRule="atLeast"/>
        </w:trPr>
        <w:tc>
          <w:tcPr>
            <w:tcW w:w="8580" w:type="dxa"/>
            <w:gridSpan w:val="4"/>
            <w:tcBorders>
              <w:top w:val="single" w:color="00000A" w:sz="8" w:space="0"/>
              <w:left w:val="single" w:color="00000A" w:sz="8" w:space="0"/>
              <w:bottom w:val="single" w:color="00000A" w:sz="8" w:space="0"/>
              <w:right w:val="single" w:color="000001" w:sz="8" w:space="0"/>
            </w:tcBorders>
            <w:shd w:val="clear" w:color="auto" w:fill="C6D9F1"/>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黑体" w:hAnsi="宋体" w:eastAsia="黑体" w:cs="黑体"/>
                <w:color w:val="000000"/>
                <w:sz w:val="19"/>
                <w:szCs w:val="19"/>
              </w:rPr>
              <w:t>第二十条第（一）项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信息内容</w:t>
            </w:r>
          </w:p>
        </w:tc>
        <w:tc>
          <w:tcPr>
            <w:tcW w:w="1995"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本年制发件数</w:t>
            </w:r>
          </w:p>
        </w:tc>
        <w:tc>
          <w:tcPr>
            <w:tcW w:w="1995"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本年废止件数</w:t>
            </w:r>
          </w:p>
        </w:tc>
        <w:tc>
          <w:tcPr>
            <w:tcW w:w="198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现行有效件数</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left"/>
              <w:rPr>
                <w:sz w:val="19"/>
                <w:szCs w:val="19"/>
              </w:rPr>
            </w:pPr>
            <w:r>
              <w:rPr>
                <w:rFonts w:hint="eastAsia" w:ascii="仿宋_GB2312" w:eastAsia="仿宋_GB2312" w:cs="仿宋_GB2312"/>
                <w:color w:val="000000"/>
                <w:sz w:val="19"/>
                <w:szCs w:val="19"/>
              </w:rPr>
              <w:t>规章</w:t>
            </w:r>
          </w:p>
        </w:tc>
        <w:tc>
          <w:tcPr>
            <w:tcW w:w="1995"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color w:val="000000"/>
                <w:sz w:val="19"/>
                <w:szCs w:val="19"/>
              </w:rPr>
              <w:t>0</w:t>
            </w:r>
          </w:p>
        </w:tc>
        <w:tc>
          <w:tcPr>
            <w:tcW w:w="1995"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color w:val="000000"/>
                <w:sz w:val="19"/>
                <w:szCs w:val="19"/>
              </w:rPr>
              <w:t>0</w:t>
            </w:r>
          </w:p>
        </w:tc>
        <w:tc>
          <w:tcPr>
            <w:tcW w:w="198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color w:val="000000"/>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left"/>
              <w:rPr>
                <w:sz w:val="19"/>
                <w:szCs w:val="19"/>
              </w:rPr>
            </w:pPr>
            <w:r>
              <w:rPr>
                <w:rFonts w:hint="eastAsia" w:ascii="仿宋_GB2312" w:eastAsia="仿宋_GB2312" w:cs="仿宋_GB2312"/>
                <w:color w:val="000000"/>
                <w:sz w:val="19"/>
                <w:szCs w:val="19"/>
              </w:rPr>
              <w:t>行政规范性文件</w:t>
            </w:r>
          </w:p>
        </w:tc>
        <w:tc>
          <w:tcPr>
            <w:tcW w:w="1995"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color w:val="000000"/>
                <w:sz w:val="19"/>
                <w:szCs w:val="19"/>
              </w:rPr>
              <w:t>0</w:t>
            </w:r>
          </w:p>
        </w:tc>
        <w:tc>
          <w:tcPr>
            <w:tcW w:w="1995"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color w:val="000000"/>
                <w:sz w:val="19"/>
                <w:szCs w:val="19"/>
              </w:rPr>
              <w:t>0</w:t>
            </w:r>
          </w:p>
        </w:tc>
        <w:tc>
          <w:tcPr>
            <w:tcW w:w="198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color w:val="000000"/>
                <w:sz w:val="19"/>
                <w:szCs w:val="19"/>
              </w:rPr>
              <w:t>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8580" w:type="dxa"/>
            <w:gridSpan w:val="4"/>
            <w:tcBorders>
              <w:top w:val="single" w:color="00000A" w:sz="8" w:space="0"/>
              <w:left w:val="single" w:color="00000A" w:sz="8" w:space="0"/>
              <w:bottom w:val="single" w:color="00000A" w:sz="8" w:space="0"/>
              <w:right w:val="single" w:color="000001" w:sz="8" w:space="0"/>
            </w:tcBorders>
            <w:shd w:val="clear" w:color="auto" w:fill="C6D9F1"/>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黑体" w:hAnsi="宋体" w:eastAsia="黑体" w:cs="黑体"/>
                <w:color w:val="000000"/>
                <w:sz w:val="19"/>
                <w:szCs w:val="19"/>
              </w:rPr>
              <w:t>第二十条第（五）项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信息内容</w:t>
            </w:r>
          </w:p>
        </w:tc>
        <w:tc>
          <w:tcPr>
            <w:tcW w:w="6390" w:type="dxa"/>
            <w:gridSpan w:val="3"/>
            <w:tcBorders>
              <w:top w:val="single" w:color="00000A" w:sz="8" w:space="0"/>
              <w:left w:val="nil"/>
              <w:bottom w:val="single" w:color="00000A" w:sz="8" w:space="0"/>
              <w:right w:val="single" w:color="000001"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本年处理决定数量</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left"/>
              <w:rPr>
                <w:sz w:val="19"/>
                <w:szCs w:val="19"/>
              </w:rPr>
            </w:pPr>
            <w:r>
              <w:rPr>
                <w:rFonts w:hint="eastAsia" w:ascii="仿宋_GB2312" w:eastAsia="仿宋_GB2312" w:cs="仿宋_GB2312"/>
                <w:color w:val="000000"/>
                <w:sz w:val="19"/>
                <w:szCs w:val="19"/>
              </w:rPr>
              <w:t>行政许可</w:t>
            </w:r>
          </w:p>
        </w:tc>
        <w:tc>
          <w:tcPr>
            <w:tcW w:w="6390" w:type="dxa"/>
            <w:gridSpan w:val="3"/>
            <w:tcBorders>
              <w:top w:val="single" w:color="00000A" w:sz="8" w:space="0"/>
              <w:left w:val="nil"/>
              <w:bottom w:val="single" w:color="00000A" w:sz="8" w:space="0"/>
              <w:right w:val="single" w:color="000001" w:sz="8" w:space="0"/>
            </w:tcBorders>
            <w:shd w:val="clear" w:color="auto" w:fill="FFFFFF"/>
            <w:noWrap w:val="0"/>
            <w:tcMar>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color w:val="auto"/>
                <w:sz w:val="19"/>
                <w:szCs w:val="19"/>
                <w:lang w:val="en-US" w:eastAsia="zh-CN"/>
              </w:rPr>
              <w:t>4</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8580" w:type="dxa"/>
            <w:gridSpan w:val="4"/>
            <w:tcBorders>
              <w:top w:val="single" w:color="00000A" w:sz="8" w:space="0"/>
              <w:left w:val="single" w:color="00000A" w:sz="8" w:space="0"/>
              <w:bottom w:val="single" w:color="00000A" w:sz="8" w:space="0"/>
              <w:right w:val="single" w:color="000001" w:sz="8" w:space="0"/>
            </w:tcBorders>
            <w:shd w:val="clear" w:color="auto" w:fill="C6D9F1"/>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黑体" w:hAnsi="宋体" w:eastAsia="黑体" w:cs="黑体"/>
                <w:color w:val="000000"/>
                <w:sz w:val="19"/>
                <w:szCs w:val="19"/>
              </w:rPr>
              <w:t>第二十条第（六）项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信息内容</w:t>
            </w:r>
          </w:p>
        </w:tc>
        <w:tc>
          <w:tcPr>
            <w:tcW w:w="6390" w:type="dxa"/>
            <w:gridSpan w:val="3"/>
            <w:tcBorders>
              <w:top w:val="single" w:color="00000A" w:sz="8" w:space="0"/>
              <w:left w:val="nil"/>
              <w:bottom w:val="single" w:color="00000A" w:sz="8" w:space="0"/>
              <w:right w:val="single" w:color="000001"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本年处理决定数量</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left"/>
              <w:rPr>
                <w:sz w:val="19"/>
                <w:szCs w:val="19"/>
              </w:rPr>
            </w:pPr>
            <w:r>
              <w:rPr>
                <w:rFonts w:hint="eastAsia" w:ascii="仿宋_GB2312" w:eastAsia="仿宋_GB2312" w:cs="仿宋_GB2312"/>
                <w:color w:val="000000"/>
                <w:sz w:val="19"/>
                <w:szCs w:val="19"/>
              </w:rPr>
              <w:t>行政处罚</w:t>
            </w:r>
          </w:p>
        </w:tc>
        <w:tc>
          <w:tcPr>
            <w:tcW w:w="6390" w:type="dxa"/>
            <w:gridSpan w:val="3"/>
            <w:tcBorders>
              <w:top w:val="single" w:color="00000A" w:sz="8" w:space="0"/>
              <w:left w:val="nil"/>
              <w:bottom w:val="single" w:color="00000A" w:sz="8" w:space="0"/>
              <w:right w:val="single" w:color="000001" w:sz="8" w:space="0"/>
            </w:tcBorders>
            <w:shd w:val="clear" w:color="auto" w:fill="FFFFFF"/>
            <w:noWrap w:val="0"/>
            <w:tcMar>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color w:val="auto"/>
                <w:sz w:val="19"/>
                <w:szCs w:val="19"/>
                <w:lang w:val="en-US" w:eastAsia="zh-CN"/>
              </w:rPr>
              <w:t>5</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left"/>
              <w:rPr>
                <w:sz w:val="19"/>
                <w:szCs w:val="19"/>
              </w:rPr>
            </w:pPr>
            <w:r>
              <w:rPr>
                <w:rFonts w:hint="eastAsia" w:ascii="仿宋_GB2312" w:eastAsia="仿宋_GB2312" w:cs="仿宋_GB2312"/>
                <w:color w:val="000000"/>
                <w:sz w:val="19"/>
                <w:szCs w:val="19"/>
              </w:rPr>
              <w:t>行政强制</w:t>
            </w:r>
          </w:p>
        </w:tc>
        <w:tc>
          <w:tcPr>
            <w:tcW w:w="6390" w:type="dxa"/>
            <w:gridSpan w:val="3"/>
            <w:tcBorders>
              <w:top w:val="single" w:color="00000A" w:sz="8" w:space="0"/>
              <w:left w:val="nil"/>
              <w:bottom w:val="single" w:color="00000A" w:sz="8" w:space="0"/>
              <w:right w:val="single" w:color="000001"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color w:val="000000"/>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8580" w:type="dxa"/>
            <w:gridSpan w:val="4"/>
            <w:tcBorders>
              <w:top w:val="single" w:color="00000A" w:sz="8" w:space="0"/>
              <w:left w:val="single" w:color="00000A" w:sz="8" w:space="0"/>
              <w:bottom w:val="single" w:color="00000A" w:sz="8" w:space="0"/>
              <w:right w:val="single" w:color="000001" w:sz="8" w:space="0"/>
            </w:tcBorders>
            <w:shd w:val="clear" w:color="auto" w:fill="C6D9F1"/>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黑体" w:hAnsi="宋体" w:eastAsia="黑体" w:cs="黑体"/>
                <w:color w:val="000000"/>
                <w:sz w:val="19"/>
                <w:szCs w:val="19"/>
              </w:rPr>
              <w:t>第二十条第（八）项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60"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信息内容</w:t>
            </w:r>
          </w:p>
        </w:tc>
        <w:tc>
          <w:tcPr>
            <w:tcW w:w="6390" w:type="dxa"/>
            <w:gridSpan w:val="3"/>
            <w:tcBorders>
              <w:top w:val="single" w:color="00000A" w:sz="8" w:space="0"/>
              <w:left w:val="nil"/>
              <w:bottom w:val="single" w:color="00000A" w:sz="8" w:space="0"/>
              <w:right w:val="single" w:color="000001"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color w:val="000000"/>
                <w:sz w:val="19"/>
                <w:szCs w:val="19"/>
              </w:rPr>
              <w:t>本年收费金额（单位：万元）</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345" w:hRule="atLeast"/>
        </w:trPr>
        <w:tc>
          <w:tcPr>
            <w:tcW w:w="1980"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left"/>
              <w:rPr>
                <w:sz w:val="19"/>
                <w:szCs w:val="19"/>
              </w:rPr>
            </w:pPr>
            <w:r>
              <w:rPr>
                <w:rFonts w:hint="eastAsia" w:ascii="仿宋_GB2312" w:eastAsia="仿宋_GB2312" w:cs="仿宋_GB2312"/>
                <w:color w:val="000000"/>
                <w:sz w:val="19"/>
                <w:szCs w:val="19"/>
              </w:rPr>
              <w:t>行政事业性收费</w:t>
            </w:r>
          </w:p>
        </w:tc>
        <w:tc>
          <w:tcPr>
            <w:tcW w:w="6390" w:type="dxa"/>
            <w:gridSpan w:val="3"/>
            <w:tcBorders>
              <w:top w:val="single" w:color="00000A" w:sz="8" w:space="0"/>
              <w:left w:val="nil"/>
              <w:bottom w:val="single" w:color="00000A" w:sz="8" w:space="0"/>
              <w:right w:val="single" w:color="000001"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color w:val="000000"/>
                <w:sz w:val="19"/>
                <w:szCs w:val="19"/>
              </w:rPr>
              <w:t>0</w:t>
            </w:r>
          </w:p>
        </w:tc>
      </w:tr>
    </w:tbl>
    <w:p>
      <w:pPr>
        <w:pStyle w:val="4"/>
        <w:keepNext w:val="0"/>
        <w:keepLines w:val="0"/>
        <w:widowControl/>
        <w:suppressLineNumbers w:val="0"/>
      </w:pPr>
    </w:p>
    <w:p>
      <w:pPr>
        <w:pStyle w:val="4"/>
        <w:keepNext w:val="0"/>
        <w:keepLines w:val="0"/>
        <w:widowControl/>
        <w:suppressLineNumbers w:val="0"/>
        <w:shd w:val="clear" w:color="auto" w:fill="FFFFFF"/>
        <w:spacing w:before="274" w:beforeAutospacing="0" w:after="274" w:afterAutospacing="0" w:line="576" w:lineRule="atLeast"/>
        <w:ind w:left="0" w:firstLine="420"/>
        <w:jc w:val="both"/>
      </w:pPr>
      <w:r>
        <w:rPr>
          <w:rFonts w:hint="eastAsia" w:ascii="黑体" w:hAnsi="宋体" w:eastAsia="黑体" w:cs="黑体"/>
          <w:color w:val="333333"/>
          <w:sz w:val="32"/>
          <w:szCs w:val="32"/>
          <w:shd w:val="clear" w:color="auto" w:fill="FFFFFF"/>
        </w:rPr>
        <w:t>三、收到和处理政府信息公开申请情况</w:t>
      </w:r>
    </w:p>
    <w:tbl>
      <w:tblPr>
        <w:tblStyle w:val="5"/>
        <w:tblW w:w="11595" w:type="dxa"/>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Layout w:type="autofit"/>
        <w:tblCellMar>
          <w:top w:w="0" w:type="dxa"/>
          <w:left w:w="0" w:type="dxa"/>
          <w:bottom w:w="0" w:type="dxa"/>
          <w:right w:w="0" w:type="dxa"/>
        </w:tblCellMar>
      </w:tblPr>
      <w:tblGrid>
        <w:gridCol w:w="696"/>
        <w:gridCol w:w="1899"/>
        <w:gridCol w:w="3439"/>
        <w:gridCol w:w="907"/>
        <w:gridCol w:w="616"/>
        <w:gridCol w:w="616"/>
        <w:gridCol w:w="804"/>
        <w:gridCol w:w="770"/>
        <w:gridCol w:w="736"/>
        <w:gridCol w:w="1112"/>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5055" w:type="dxa"/>
            <w:gridSpan w:val="3"/>
            <w:vMerge w:val="restart"/>
            <w:tcBorders>
              <w:top w:val="single" w:color="00000A" w:sz="8"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spacing w:after="0" w:afterAutospacing="0"/>
              <w:ind w:left="0" w:firstLine="420"/>
              <w:jc w:val="center"/>
              <w:rPr>
                <w:sz w:val="19"/>
                <w:szCs w:val="19"/>
              </w:rPr>
            </w:pPr>
            <w:r>
              <w:rPr>
                <w:rFonts w:ascii="楷体_GB2312" w:eastAsia="楷体_GB2312" w:cs="楷体_GB2312"/>
                <w:sz w:val="19"/>
                <w:szCs w:val="19"/>
              </w:rPr>
              <w:t>（本列数据的勾稽关系为：第一项加第二项之和，</w:t>
            </w:r>
          </w:p>
          <w:p>
            <w:pPr>
              <w:pStyle w:val="4"/>
              <w:keepNext w:val="0"/>
              <w:keepLines w:val="0"/>
              <w:widowControl/>
              <w:suppressLineNumbers w:val="0"/>
              <w:ind w:left="0" w:firstLine="420"/>
              <w:jc w:val="center"/>
              <w:rPr>
                <w:sz w:val="19"/>
                <w:szCs w:val="19"/>
              </w:rPr>
            </w:pPr>
            <w:r>
              <w:rPr>
                <w:rFonts w:hint="eastAsia" w:ascii="楷体_GB2312" w:eastAsia="楷体_GB2312" w:cs="楷体_GB2312"/>
                <w:sz w:val="19"/>
                <w:szCs w:val="19"/>
              </w:rPr>
              <w:t>等于第三项加第四项之和）</w:t>
            </w:r>
          </w:p>
        </w:tc>
        <w:tc>
          <w:tcPr>
            <w:tcW w:w="4770" w:type="dxa"/>
            <w:gridSpan w:val="7"/>
            <w:tcBorders>
              <w:top w:val="single" w:color="00000A" w:sz="8"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420"/>
              <w:jc w:val="center"/>
              <w:rPr>
                <w:sz w:val="19"/>
                <w:szCs w:val="19"/>
              </w:rPr>
            </w:pPr>
            <w:r>
              <w:rPr>
                <w:rFonts w:hint="eastAsia" w:ascii="黑体" w:hAnsi="宋体" w:eastAsia="黑体" w:cs="黑体"/>
                <w:sz w:val="19"/>
                <w:szCs w:val="19"/>
              </w:rPr>
              <w:t>申请人情况</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5055" w:type="dxa"/>
            <w:gridSpan w:val="3"/>
            <w:vMerge w:val="continue"/>
            <w:tcBorders>
              <w:top w:val="single" w:color="00000A" w:sz="8"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795" w:type="dxa"/>
            <w:vMerge w:val="restart"/>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jc w:val="center"/>
              <w:rPr>
                <w:sz w:val="19"/>
                <w:szCs w:val="19"/>
              </w:rPr>
            </w:pPr>
            <w:r>
              <w:rPr>
                <w:rFonts w:hint="eastAsia" w:ascii="黑体" w:hAnsi="宋体" w:eastAsia="黑体" w:cs="黑体"/>
                <w:sz w:val="19"/>
                <w:szCs w:val="19"/>
              </w:rPr>
              <w:t>自然人</w:t>
            </w:r>
          </w:p>
        </w:tc>
        <w:tc>
          <w:tcPr>
            <w:tcW w:w="3105" w:type="dxa"/>
            <w:gridSpan w:val="5"/>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420"/>
              <w:jc w:val="center"/>
              <w:rPr>
                <w:sz w:val="19"/>
                <w:szCs w:val="19"/>
              </w:rPr>
            </w:pPr>
            <w:r>
              <w:rPr>
                <w:rFonts w:hint="eastAsia" w:ascii="黑体" w:hAnsi="宋体" w:eastAsia="黑体" w:cs="黑体"/>
                <w:sz w:val="19"/>
                <w:szCs w:val="19"/>
              </w:rPr>
              <w:t>法人或其他组织</w:t>
            </w:r>
          </w:p>
        </w:tc>
        <w:tc>
          <w:tcPr>
            <w:tcW w:w="810" w:type="dxa"/>
            <w:vMerge w:val="restart"/>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jc w:val="center"/>
              <w:rPr>
                <w:sz w:val="19"/>
                <w:szCs w:val="19"/>
              </w:rPr>
            </w:pPr>
            <w:r>
              <w:rPr>
                <w:rFonts w:hint="eastAsia" w:ascii="黑体" w:hAnsi="宋体" w:eastAsia="黑体" w:cs="黑体"/>
                <w:sz w:val="19"/>
                <w:szCs w:val="19"/>
              </w:rPr>
              <w:t>总计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5055" w:type="dxa"/>
            <w:gridSpan w:val="3"/>
            <w:vMerge w:val="continue"/>
            <w:tcBorders>
              <w:top w:val="single" w:color="00000A" w:sz="8"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79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right="0" w:firstLine="0"/>
              <w:jc w:val="center"/>
              <w:rPr>
                <w:sz w:val="19"/>
                <w:szCs w:val="19"/>
              </w:rPr>
            </w:pPr>
            <w:r>
              <w:rPr>
                <w:rFonts w:hint="eastAsia" w:ascii="黑体" w:hAnsi="宋体" w:eastAsia="黑体" w:cs="黑体"/>
                <w:sz w:val="19"/>
                <w:szCs w:val="19"/>
              </w:rPr>
              <w:t>商业企业</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right="0" w:firstLine="0"/>
              <w:jc w:val="center"/>
              <w:rPr>
                <w:sz w:val="19"/>
                <w:szCs w:val="19"/>
              </w:rPr>
            </w:pPr>
            <w:r>
              <w:rPr>
                <w:rFonts w:hint="eastAsia" w:ascii="黑体" w:hAnsi="宋体" w:eastAsia="黑体" w:cs="黑体"/>
                <w:sz w:val="19"/>
                <w:szCs w:val="19"/>
              </w:rPr>
              <w:t>科研机构</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right="0" w:firstLine="0"/>
              <w:jc w:val="center"/>
              <w:rPr>
                <w:sz w:val="19"/>
                <w:szCs w:val="19"/>
              </w:rPr>
            </w:pPr>
            <w:r>
              <w:rPr>
                <w:rFonts w:hint="eastAsia" w:ascii="黑体" w:hAnsi="宋体" w:eastAsia="黑体" w:cs="黑体"/>
                <w:sz w:val="19"/>
                <w:szCs w:val="19"/>
              </w:rPr>
              <w:t>社会公益组织</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right="0" w:firstLine="0"/>
              <w:jc w:val="center"/>
              <w:rPr>
                <w:sz w:val="19"/>
                <w:szCs w:val="19"/>
              </w:rPr>
            </w:pPr>
            <w:r>
              <w:rPr>
                <w:rFonts w:hint="eastAsia" w:ascii="黑体" w:hAnsi="宋体" w:eastAsia="黑体" w:cs="黑体"/>
                <w:sz w:val="19"/>
                <w:szCs w:val="19"/>
              </w:rPr>
              <w:t>法律服务机构</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right="0" w:firstLine="0"/>
              <w:jc w:val="center"/>
              <w:rPr>
                <w:sz w:val="19"/>
                <w:szCs w:val="19"/>
              </w:rPr>
            </w:pPr>
            <w:r>
              <w:rPr>
                <w:rFonts w:hint="eastAsia" w:ascii="黑体" w:hAnsi="宋体" w:eastAsia="黑体" w:cs="黑体"/>
                <w:sz w:val="19"/>
                <w:szCs w:val="19"/>
              </w:rPr>
              <w:t>其他</w:t>
            </w:r>
          </w:p>
        </w:tc>
        <w:tc>
          <w:tcPr>
            <w:tcW w:w="810" w:type="dxa"/>
            <w:vMerge w:val="continue"/>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PrEx>
        <w:trPr>
          <w:jc w:val="center"/>
        </w:trPr>
        <w:tc>
          <w:tcPr>
            <w:tcW w:w="5055" w:type="dxa"/>
            <w:gridSpan w:val="3"/>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420"/>
              <w:rPr>
                <w:sz w:val="19"/>
                <w:szCs w:val="19"/>
              </w:rPr>
            </w:pPr>
            <w:bookmarkStart w:id="1" w:name="_Hlk66973412"/>
            <w:bookmarkEnd w:id="1"/>
            <w:r>
              <w:rPr>
                <w:rFonts w:hint="eastAsia" w:ascii="黑体" w:hAnsi="宋体" w:eastAsia="黑体" w:cs="黑体"/>
                <w:sz w:val="19"/>
                <w:szCs w:val="19"/>
              </w:rPr>
              <w:t>一、本年新收政府信息公开申请数量</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sz w:val="19"/>
                <w:szCs w:val="19"/>
                <w:lang w:val="en-US" w:eastAsia="zh-CN"/>
              </w:rPr>
              <w:t>6</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sz w:val="19"/>
                <w:szCs w:val="19"/>
                <w:lang w:val="en-US" w:eastAsia="zh-CN"/>
              </w:rPr>
              <w:t>6</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5055" w:type="dxa"/>
            <w:gridSpan w:val="3"/>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420"/>
              <w:rPr>
                <w:sz w:val="19"/>
                <w:szCs w:val="19"/>
              </w:rPr>
            </w:pPr>
            <w:r>
              <w:rPr>
                <w:rFonts w:hint="eastAsia" w:ascii="黑体" w:hAnsi="宋体" w:eastAsia="黑体" w:cs="黑体"/>
                <w:sz w:val="19"/>
                <w:szCs w:val="19"/>
              </w:rPr>
              <w:t>二、上年结转政府信息公开申请数量</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restart"/>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黑体" w:hAnsi="宋体" w:eastAsia="黑体" w:cs="黑体"/>
                <w:sz w:val="19"/>
                <w:szCs w:val="19"/>
              </w:rPr>
              <w:t>三、本年度办理结果</w:t>
            </w:r>
          </w:p>
        </w:tc>
        <w:tc>
          <w:tcPr>
            <w:tcW w:w="4650" w:type="dxa"/>
            <w:gridSpan w:val="2"/>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黑体" w:hAnsi="宋体" w:eastAsia="黑体" w:cs="黑体"/>
                <w:sz w:val="19"/>
                <w:szCs w:val="19"/>
              </w:rPr>
              <w:t>（一）予以公开</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sz w:val="19"/>
                <w:szCs w:val="19"/>
                <w:lang w:val="en-US" w:eastAsia="zh-CN"/>
              </w:rPr>
              <w:t>4</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eastAsia="仿宋_GB2312" w:cs="仿宋_GB2312"/>
                <w:sz w:val="19"/>
                <w:szCs w:val="19"/>
                <w:lang w:val="en-US" w:eastAsia="zh-CN"/>
              </w:rPr>
              <w:t>4</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4650" w:type="dxa"/>
            <w:gridSpan w:val="2"/>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bookmarkStart w:id="2" w:name="_Hlk66973981"/>
            <w:bookmarkEnd w:id="2"/>
            <w:r>
              <w:rPr>
                <w:rFonts w:hint="eastAsia" w:ascii="黑体" w:hAnsi="宋体" w:eastAsia="黑体" w:cs="黑体"/>
                <w:sz w:val="19"/>
                <w:szCs w:val="19"/>
              </w:rPr>
              <w:t>（二）部分公开（区分处理的，只计这一情形，不计其他情形）</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restart"/>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黑体" w:hAnsi="宋体" w:eastAsia="黑体" w:cs="黑体"/>
                <w:sz w:val="19"/>
                <w:szCs w:val="19"/>
              </w:rPr>
              <w:t>（三）不予公开</w:t>
            </w: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仿宋_GB2312" w:hAnsi="Calibri" w:eastAsia="仿宋_GB2312" w:cs="仿宋_GB2312"/>
                <w:sz w:val="19"/>
                <w:szCs w:val="19"/>
              </w:rPr>
              <w:t>1.</w:t>
            </w:r>
            <w:r>
              <w:rPr>
                <w:rFonts w:hint="eastAsia" w:ascii="仿宋_GB2312" w:eastAsia="仿宋_GB2312" w:cs="仿宋_GB2312"/>
                <w:sz w:val="19"/>
                <w:szCs w:val="19"/>
              </w:rPr>
              <w:t>属于国家秘密</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bookmarkStart w:id="3" w:name="_Hlk66974104"/>
            <w:bookmarkEnd w:id="3"/>
            <w:r>
              <w:rPr>
                <w:rFonts w:hint="eastAsia" w:ascii="仿宋_GB2312" w:hAnsi="Calibri" w:eastAsia="仿宋_GB2312" w:cs="仿宋_GB2312"/>
                <w:sz w:val="19"/>
                <w:szCs w:val="19"/>
              </w:rPr>
              <w:t>2.</w:t>
            </w:r>
            <w:r>
              <w:rPr>
                <w:rFonts w:hint="eastAsia" w:ascii="仿宋_GB2312" w:eastAsia="仿宋_GB2312" w:cs="仿宋_GB2312"/>
                <w:sz w:val="19"/>
                <w:szCs w:val="19"/>
              </w:rPr>
              <w:t>其他法律行政法规禁止公开</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仿宋_GB2312" w:hAnsi="Calibri" w:eastAsia="仿宋_GB2312" w:cs="仿宋_GB2312"/>
                <w:sz w:val="19"/>
                <w:szCs w:val="19"/>
              </w:rPr>
              <w:t>3.</w:t>
            </w:r>
            <w:r>
              <w:rPr>
                <w:rFonts w:hint="eastAsia" w:ascii="仿宋_GB2312" w:eastAsia="仿宋_GB2312" w:cs="仿宋_GB2312"/>
                <w:sz w:val="19"/>
                <w:szCs w:val="19"/>
              </w:rPr>
              <w:t>危及“三安全一稳定”</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rPr>
                <w:sz w:val="19"/>
                <w:szCs w:val="19"/>
              </w:rPr>
            </w:pPr>
            <w:bookmarkStart w:id="4" w:name="_Hlk66974290"/>
            <w:bookmarkEnd w:id="4"/>
            <w:r>
              <w:rPr>
                <w:rFonts w:hint="eastAsia" w:ascii="仿宋_GB2312" w:hAnsi="Calibri" w:eastAsia="仿宋_GB2312" w:cs="仿宋_GB2312"/>
                <w:sz w:val="19"/>
                <w:szCs w:val="19"/>
              </w:rPr>
              <w:t>4.</w:t>
            </w:r>
            <w:r>
              <w:rPr>
                <w:rFonts w:hint="eastAsia" w:ascii="仿宋_GB2312" w:eastAsia="仿宋_GB2312" w:cs="仿宋_GB2312"/>
                <w:sz w:val="19"/>
                <w:szCs w:val="19"/>
              </w:rPr>
              <w:t>保护第三方合法权益</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rPr>
                <w:sz w:val="19"/>
                <w:szCs w:val="19"/>
              </w:rPr>
            </w:pPr>
            <w:r>
              <w:rPr>
                <w:rFonts w:hint="eastAsia" w:ascii="仿宋_GB2312" w:hAnsi="Calibri" w:eastAsia="仿宋_GB2312" w:cs="仿宋_GB2312"/>
                <w:sz w:val="19"/>
                <w:szCs w:val="19"/>
              </w:rPr>
              <w:t>5.</w:t>
            </w:r>
            <w:r>
              <w:rPr>
                <w:rFonts w:hint="eastAsia" w:ascii="仿宋_GB2312" w:eastAsia="仿宋_GB2312" w:cs="仿宋_GB2312"/>
                <w:sz w:val="19"/>
                <w:szCs w:val="19"/>
              </w:rPr>
              <w:t>属于三类内部事务信息</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rPr>
                <w:sz w:val="19"/>
                <w:szCs w:val="19"/>
              </w:rPr>
            </w:pPr>
            <w:bookmarkStart w:id="5" w:name="_Hlk66974555"/>
            <w:bookmarkEnd w:id="5"/>
            <w:r>
              <w:rPr>
                <w:rFonts w:hint="eastAsia" w:ascii="仿宋_GB2312" w:hAnsi="Calibri" w:eastAsia="仿宋_GB2312" w:cs="仿宋_GB2312"/>
                <w:sz w:val="19"/>
                <w:szCs w:val="19"/>
              </w:rPr>
              <w:t>6.</w:t>
            </w:r>
            <w:r>
              <w:rPr>
                <w:rFonts w:hint="eastAsia" w:ascii="仿宋_GB2312" w:eastAsia="仿宋_GB2312" w:cs="仿宋_GB2312"/>
                <w:sz w:val="19"/>
                <w:szCs w:val="19"/>
              </w:rPr>
              <w:t>属于四类过程性信息</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rPr>
                <w:sz w:val="19"/>
                <w:szCs w:val="19"/>
              </w:rPr>
            </w:pPr>
            <w:r>
              <w:rPr>
                <w:rFonts w:hint="eastAsia" w:ascii="仿宋_GB2312" w:hAnsi="Calibri" w:eastAsia="仿宋_GB2312" w:cs="仿宋_GB2312"/>
                <w:sz w:val="19"/>
                <w:szCs w:val="19"/>
              </w:rPr>
              <w:t>7.</w:t>
            </w:r>
            <w:r>
              <w:rPr>
                <w:rFonts w:hint="eastAsia" w:ascii="仿宋_GB2312" w:eastAsia="仿宋_GB2312" w:cs="仿宋_GB2312"/>
                <w:sz w:val="19"/>
                <w:szCs w:val="19"/>
              </w:rPr>
              <w:t>属于行政执法案卷</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bookmarkStart w:id="6" w:name="_Hlk66975211"/>
            <w:bookmarkEnd w:id="6"/>
            <w:r>
              <w:rPr>
                <w:rFonts w:hint="eastAsia" w:ascii="仿宋_GB2312" w:hAnsi="Calibri" w:eastAsia="仿宋_GB2312" w:cs="仿宋_GB2312"/>
                <w:sz w:val="19"/>
                <w:szCs w:val="19"/>
              </w:rPr>
              <w:t>8.</w:t>
            </w:r>
            <w:r>
              <w:rPr>
                <w:rFonts w:hint="eastAsia" w:ascii="仿宋_GB2312" w:eastAsia="仿宋_GB2312" w:cs="仿宋_GB2312"/>
                <w:sz w:val="19"/>
                <w:szCs w:val="19"/>
              </w:rPr>
              <w:t>属于行政查询事项</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restart"/>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黑体" w:hAnsi="宋体" w:eastAsia="黑体" w:cs="黑体"/>
                <w:sz w:val="19"/>
                <w:szCs w:val="19"/>
              </w:rPr>
              <w:t>（四）无法提供</w:t>
            </w: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rPr>
                <w:sz w:val="19"/>
                <w:szCs w:val="19"/>
              </w:rPr>
            </w:pPr>
            <w:r>
              <w:rPr>
                <w:rFonts w:hint="eastAsia" w:ascii="仿宋_GB2312" w:hAnsi="Calibri" w:eastAsia="仿宋_GB2312" w:cs="仿宋_GB2312"/>
                <w:sz w:val="19"/>
                <w:szCs w:val="19"/>
              </w:rPr>
              <w:t>1.</w:t>
            </w:r>
            <w:r>
              <w:rPr>
                <w:rFonts w:hint="eastAsia" w:ascii="仿宋_GB2312" w:eastAsia="仿宋_GB2312" w:cs="仿宋_GB2312"/>
                <w:sz w:val="19"/>
                <w:szCs w:val="19"/>
              </w:rPr>
              <w:t>本机关不掌握相关政府信息</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sz w:val="19"/>
                <w:szCs w:val="19"/>
                <w:lang w:val="en-US" w:eastAsia="zh-CN"/>
              </w:rPr>
              <w:t>1</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sz w:val="19"/>
                <w:szCs w:val="19"/>
                <w:lang w:val="en-US" w:eastAsia="zh-CN"/>
              </w:rPr>
              <w:t>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bookmarkStart w:id="7" w:name="_Hlk66975392"/>
            <w:bookmarkEnd w:id="7"/>
            <w:r>
              <w:rPr>
                <w:rFonts w:hint="eastAsia" w:ascii="仿宋_GB2312" w:hAnsi="Calibri" w:eastAsia="仿宋_GB2312" w:cs="仿宋_GB2312"/>
                <w:sz w:val="19"/>
                <w:szCs w:val="19"/>
              </w:rPr>
              <w:t>2.</w:t>
            </w:r>
            <w:r>
              <w:rPr>
                <w:rFonts w:hint="eastAsia" w:ascii="仿宋_GB2312" w:eastAsia="仿宋_GB2312" w:cs="仿宋_GB2312"/>
                <w:sz w:val="19"/>
                <w:szCs w:val="19"/>
              </w:rPr>
              <w:t>没有现成信息需要另行制作</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bookmarkStart w:id="8" w:name="_Hlk66975466"/>
            <w:bookmarkEnd w:id="8"/>
            <w:r>
              <w:rPr>
                <w:rFonts w:hint="eastAsia" w:ascii="仿宋_GB2312" w:hAnsi="Calibri" w:eastAsia="仿宋_GB2312" w:cs="仿宋_GB2312"/>
                <w:sz w:val="19"/>
                <w:szCs w:val="19"/>
              </w:rPr>
              <w:t>3.</w:t>
            </w:r>
            <w:r>
              <w:rPr>
                <w:rFonts w:hint="eastAsia" w:ascii="仿宋_GB2312" w:eastAsia="仿宋_GB2312" w:cs="仿宋_GB2312"/>
                <w:sz w:val="19"/>
                <w:szCs w:val="19"/>
              </w:rPr>
              <w:t>补正后申请内容仍不明确</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restart"/>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黑体" w:hAnsi="宋体" w:eastAsia="黑体" w:cs="黑体"/>
                <w:sz w:val="19"/>
                <w:szCs w:val="19"/>
              </w:rPr>
              <w:t>（五）不予处理</w:t>
            </w: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bookmarkStart w:id="9" w:name="_Hlk66975537"/>
            <w:bookmarkEnd w:id="9"/>
            <w:r>
              <w:rPr>
                <w:rFonts w:hint="eastAsia" w:ascii="仿宋_GB2312" w:hAnsi="Calibri" w:eastAsia="仿宋_GB2312" w:cs="仿宋_GB2312"/>
                <w:sz w:val="19"/>
                <w:szCs w:val="19"/>
              </w:rPr>
              <w:t>1.</w:t>
            </w:r>
            <w:r>
              <w:rPr>
                <w:rFonts w:hint="eastAsia" w:ascii="仿宋_GB2312" w:eastAsia="仿宋_GB2312" w:cs="仿宋_GB2312"/>
                <w:sz w:val="19"/>
                <w:szCs w:val="19"/>
              </w:rPr>
              <w:t>信访举报投诉类申请</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仿宋_GB2312" w:hAnsi="Calibri" w:eastAsia="仿宋_GB2312" w:cs="仿宋_GB2312"/>
                <w:sz w:val="19"/>
                <w:szCs w:val="19"/>
              </w:rPr>
              <w:t>2.</w:t>
            </w:r>
            <w:r>
              <w:rPr>
                <w:rFonts w:hint="eastAsia" w:ascii="仿宋_GB2312" w:eastAsia="仿宋_GB2312" w:cs="仿宋_GB2312"/>
                <w:sz w:val="19"/>
                <w:szCs w:val="19"/>
              </w:rPr>
              <w:t>重复申请</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rFonts w:hint="eastAsia" w:eastAsia="仿宋_GB2312"/>
                <w:sz w:val="19"/>
                <w:szCs w:val="19"/>
                <w:lang w:val="en-US" w:eastAsia="zh-CN"/>
              </w:rPr>
            </w:pPr>
            <w:r>
              <w:rPr>
                <w:rFonts w:hint="eastAsia" w:ascii="仿宋_GB2312" w:eastAsia="仿宋_GB2312" w:cs="仿宋_GB2312"/>
                <w:sz w:val="19"/>
                <w:szCs w:val="19"/>
                <w:lang w:val="en-US" w:eastAsia="zh-CN"/>
              </w:rPr>
              <w:t>1</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sz w:val="19"/>
                <w:szCs w:val="19"/>
                <w:lang w:val="en-US" w:eastAsia="zh-CN"/>
              </w:rPr>
              <w:t>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rPr>
                <w:sz w:val="19"/>
                <w:szCs w:val="19"/>
              </w:rPr>
            </w:pPr>
            <w:r>
              <w:rPr>
                <w:rFonts w:hint="eastAsia" w:ascii="仿宋_GB2312" w:hAnsi="Calibri" w:eastAsia="仿宋_GB2312" w:cs="仿宋_GB2312"/>
                <w:sz w:val="19"/>
                <w:szCs w:val="19"/>
              </w:rPr>
              <w:t>3.</w:t>
            </w:r>
            <w:r>
              <w:rPr>
                <w:rFonts w:hint="eastAsia" w:ascii="仿宋_GB2312" w:eastAsia="仿宋_GB2312" w:cs="仿宋_GB2312"/>
                <w:sz w:val="19"/>
                <w:szCs w:val="19"/>
              </w:rPr>
              <w:t>要求提供公开出版物</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仿宋_GB2312" w:hAnsi="Calibri" w:eastAsia="仿宋_GB2312" w:cs="仿宋_GB2312"/>
                <w:sz w:val="19"/>
                <w:szCs w:val="19"/>
              </w:rPr>
              <w:t>4.</w:t>
            </w:r>
            <w:r>
              <w:rPr>
                <w:rFonts w:hint="eastAsia" w:ascii="仿宋_GB2312" w:eastAsia="仿宋_GB2312" w:cs="仿宋_GB2312"/>
                <w:sz w:val="19"/>
                <w:szCs w:val="19"/>
              </w:rPr>
              <w:t>无正当理由大量反复申请</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spacing w:after="0" w:afterAutospacing="0"/>
              <w:ind w:left="0" w:firstLine="0"/>
              <w:rPr>
                <w:sz w:val="19"/>
                <w:szCs w:val="19"/>
              </w:rPr>
            </w:pPr>
            <w:r>
              <w:rPr>
                <w:rFonts w:hint="eastAsia" w:ascii="仿宋_GB2312" w:hAnsi="Calibri" w:eastAsia="仿宋_GB2312" w:cs="仿宋_GB2312"/>
                <w:sz w:val="19"/>
                <w:szCs w:val="19"/>
              </w:rPr>
              <w:t>5.</w:t>
            </w:r>
            <w:r>
              <w:rPr>
                <w:rFonts w:hint="eastAsia" w:ascii="仿宋_GB2312" w:eastAsia="仿宋_GB2312" w:cs="仿宋_GB2312"/>
                <w:sz w:val="19"/>
                <w:szCs w:val="19"/>
              </w:rPr>
              <w:t>要求行政机关确认或重新出具已获取信息</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restart"/>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黑体" w:hAnsi="宋体" w:eastAsia="黑体" w:cs="黑体"/>
                <w:sz w:val="19"/>
                <w:szCs w:val="19"/>
              </w:rPr>
              <w:t>（六）其他处理</w:t>
            </w: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4" w:type="dxa"/>
            </w:tcMar>
            <w:vAlign w:val="center"/>
          </w:tcPr>
          <w:p>
            <w:pPr>
              <w:pStyle w:val="4"/>
              <w:keepNext w:val="0"/>
              <w:keepLines w:val="0"/>
              <w:widowControl/>
              <w:suppressLineNumbers w:val="0"/>
              <w:wordWrap w:val="0"/>
              <w:ind w:left="0" w:firstLine="0"/>
              <w:rPr>
                <w:sz w:val="19"/>
                <w:szCs w:val="19"/>
              </w:rPr>
            </w:pPr>
            <w:r>
              <w:rPr>
                <w:rFonts w:hint="eastAsia" w:ascii="仿宋_GB2312" w:hAnsi="Calibri" w:eastAsia="仿宋_GB2312" w:cs="仿宋_GB2312"/>
                <w:sz w:val="19"/>
                <w:szCs w:val="19"/>
              </w:rPr>
              <w:t>1.</w:t>
            </w:r>
            <w:r>
              <w:rPr>
                <w:rFonts w:hint="eastAsia" w:ascii="仿宋_GB2312" w:eastAsia="仿宋_GB2312" w:cs="仿宋_GB2312"/>
                <w:sz w:val="19"/>
                <w:szCs w:val="19"/>
              </w:rPr>
              <w:t>申请人无正当理由逾期不补正、行政机关不再处理其政府信息公开申请</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4" w:type="dxa"/>
            </w:tcMar>
            <w:vAlign w:val="center"/>
          </w:tcPr>
          <w:p>
            <w:pPr>
              <w:pStyle w:val="4"/>
              <w:keepNext w:val="0"/>
              <w:keepLines w:val="0"/>
              <w:widowControl/>
              <w:suppressLineNumbers w:val="0"/>
              <w:wordWrap w:val="0"/>
              <w:ind w:left="0" w:firstLine="0"/>
              <w:rPr>
                <w:sz w:val="19"/>
                <w:szCs w:val="19"/>
              </w:rPr>
            </w:pPr>
            <w:r>
              <w:rPr>
                <w:rFonts w:hint="eastAsia" w:ascii="仿宋_GB2312" w:hAnsi="Calibri" w:eastAsia="仿宋_GB2312" w:cs="仿宋_GB2312"/>
                <w:sz w:val="19"/>
                <w:szCs w:val="19"/>
              </w:rPr>
              <w:t>2.</w:t>
            </w:r>
            <w:r>
              <w:rPr>
                <w:rFonts w:hint="eastAsia" w:ascii="仿宋_GB2312" w:eastAsia="仿宋_GB2312" w:cs="仿宋_GB2312"/>
                <w:sz w:val="19"/>
                <w:szCs w:val="19"/>
              </w:rPr>
              <w:t>申请人逾期未按收费通知要求缴纳费用、行政机关不再处理其政府信息公开申请</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1665" w:type="dxa"/>
            <w:vMerge w:val="continue"/>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2940" w:type="dxa"/>
            <w:tcBorders>
              <w:top w:val="single" w:color="00000A" w:sz="6" w:space="0"/>
              <w:left w:val="single" w:color="00000A" w:sz="6" w:space="0"/>
              <w:bottom w:val="single" w:color="00000A" w:sz="6" w:space="0"/>
              <w:right w:val="single" w:color="00000A" w:sz="6" w:space="0"/>
            </w:tcBorders>
            <w:shd w:val="clear" w:color="auto" w:fill="FFFFFF"/>
            <w:noWrap w:val="0"/>
            <w:tcMar>
              <w:left w:w="14" w:type="dxa"/>
            </w:tcMar>
            <w:vAlign w:val="center"/>
          </w:tcPr>
          <w:p>
            <w:pPr>
              <w:pStyle w:val="4"/>
              <w:keepNext w:val="0"/>
              <w:keepLines w:val="0"/>
              <w:widowControl/>
              <w:suppressLineNumbers w:val="0"/>
              <w:wordWrap w:val="0"/>
              <w:ind w:left="0" w:firstLine="0"/>
              <w:rPr>
                <w:sz w:val="19"/>
                <w:szCs w:val="19"/>
              </w:rPr>
            </w:pPr>
            <w:r>
              <w:rPr>
                <w:rFonts w:hint="eastAsia" w:ascii="仿宋_GB2312" w:hAnsi="Calibri" w:eastAsia="仿宋_GB2312" w:cs="仿宋_GB2312"/>
                <w:sz w:val="19"/>
                <w:szCs w:val="19"/>
              </w:rPr>
              <w:t>3.</w:t>
            </w:r>
            <w:r>
              <w:rPr>
                <w:rFonts w:hint="eastAsia" w:ascii="仿宋_GB2312" w:eastAsia="仿宋_GB2312" w:cs="仿宋_GB2312"/>
                <w:sz w:val="19"/>
                <w:szCs w:val="19"/>
              </w:rPr>
              <w:t>其他</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single" w:color="00000A" w:sz="6" w:space="0"/>
              <w:left w:val="single" w:color="00000A" w:sz="8" w:space="0"/>
              <w:bottom w:val="single" w:color="00000A" w:sz="6" w:space="0"/>
              <w:right w:val="single" w:color="00000A" w:sz="6" w:space="0"/>
            </w:tcBorders>
            <w:shd w:val="clear" w:color="auto" w:fill="FFFFFF"/>
            <w:noWrap w:val="0"/>
            <w:tcMar>
              <w:left w:w="115" w:type="dxa"/>
              <w:right w:w="115" w:type="dxa"/>
            </w:tcMar>
            <w:vAlign w:val="center"/>
          </w:tcPr>
          <w:p>
            <w:pPr>
              <w:rPr>
                <w:rFonts w:hint="eastAsia" w:ascii="宋体"/>
                <w:sz w:val="24"/>
                <w:szCs w:val="24"/>
              </w:rPr>
            </w:pPr>
          </w:p>
        </w:tc>
        <w:tc>
          <w:tcPr>
            <w:tcW w:w="4650" w:type="dxa"/>
            <w:gridSpan w:val="2"/>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wordWrap w:val="0"/>
              <w:ind w:left="0" w:firstLine="0"/>
              <w:rPr>
                <w:sz w:val="19"/>
                <w:szCs w:val="19"/>
              </w:rPr>
            </w:pPr>
            <w:r>
              <w:rPr>
                <w:rFonts w:hint="eastAsia" w:ascii="黑体" w:hAnsi="宋体" w:eastAsia="黑体" w:cs="黑体"/>
                <w:sz w:val="19"/>
                <w:szCs w:val="19"/>
              </w:rPr>
              <w:t>（七）总计</w:t>
            </w:r>
          </w:p>
        </w:tc>
        <w:tc>
          <w:tcPr>
            <w:tcW w:w="79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sz w:val="19"/>
                <w:szCs w:val="19"/>
                <w:lang w:val="en-US" w:eastAsia="zh-CN"/>
              </w:rPr>
              <w:t>6</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6"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6"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rFonts w:hint="eastAsia" w:eastAsia="宋体"/>
                <w:sz w:val="19"/>
                <w:szCs w:val="19"/>
                <w:lang w:eastAsia="zh-CN"/>
              </w:rPr>
            </w:pPr>
            <w:r>
              <w:rPr>
                <w:rFonts w:hint="eastAsia" w:ascii="仿宋_GB2312" w:eastAsia="仿宋_GB2312" w:cs="仿宋_GB2312"/>
                <w:sz w:val="19"/>
                <w:szCs w:val="19"/>
                <w:lang w:val="en-US" w:eastAsia="zh-CN"/>
              </w:rPr>
              <w:t>6</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5055" w:type="dxa"/>
            <w:gridSpan w:val="3"/>
            <w:tcBorders>
              <w:top w:val="single" w:color="00000A" w:sz="6" w:space="0"/>
              <w:left w:val="single" w:color="00000A" w:sz="8" w:space="0"/>
              <w:bottom w:val="single" w:color="00000A" w:sz="8"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420"/>
              <w:rPr>
                <w:sz w:val="19"/>
                <w:szCs w:val="19"/>
              </w:rPr>
            </w:pPr>
            <w:r>
              <w:rPr>
                <w:rFonts w:hint="eastAsia" w:ascii="黑体" w:hAnsi="宋体" w:eastAsia="黑体" w:cs="黑体"/>
                <w:sz w:val="19"/>
                <w:szCs w:val="19"/>
              </w:rPr>
              <w:t>四、结转下年度继续办理</w:t>
            </w:r>
          </w:p>
        </w:tc>
        <w:tc>
          <w:tcPr>
            <w:tcW w:w="795" w:type="dxa"/>
            <w:tcBorders>
              <w:top w:val="single" w:color="00000A" w:sz="6" w:space="0"/>
              <w:left w:val="single" w:color="00000A" w:sz="6" w:space="0"/>
              <w:bottom w:val="single" w:color="00000A" w:sz="8"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8"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8"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705" w:type="dxa"/>
            <w:tcBorders>
              <w:top w:val="single" w:color="00000A" w:sz="6" w:space="0"/>
              <w:left w:val="single" w:color="00000A" w:sz="6" w:space="0"/>
              <w:bottom w:val="single" w:color="00000A" w:sz="8"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675" w:type="dxa"/>
            <w:tcBorders>
              <w:top w:val="single" w:color="00000A" w:sz="6" w:space="0"/>
              <w:left w:val="single" w:color="00000A" w:sz="6" w:space="0"/>
              <w:bottom w:val="single" w:color="00000A" w:sz="8"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540" w:type="dxa"/>
            <w:tcBorders>
              <w:top w:val="single" w:color="00000A" w:sz="6" w:space="0"/>
              <w:left w:val="single" w:color="00000A" w:sz="6" w:space="0"/>
              <w:bottom w:val="single" w:color="00000A" w:sz="8" w:space="0"/>
              <w:right w:val="single" w:color="00000A" w:sz="6"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c>
          <w:tcPr>
            <w:tcW w:w="810" w:type="dxa"/>
            <w:tcBorders>
              <w:top w:val="single" w:color="00000A" w:sz="6" w:space="0"/>
              <w:left w:val="single" w:color="00000A" w:sz="6"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仿宋_GB2312" w:hAnsi="Calibri" w:eastAsia="仿宋_GB2312" w:cs="仿宋_GB2312"/>
                <w:sz w:val="19"/>
                <w:szCs w:val="19"/>
              </w:rPr>
              <w:t>0</w:t>
            </w:r>
          </w:p>
        </w:tc>
      </w:tr>
    </w:tbl>
    <w:p>
      <w:pPr>
        <w:pStyle w:val="4"/>
        <w:keepNext w:val="0"/>
        <w:keepLines w:val="0"/>
        <w:pageBreakBefore w:val="0"/>
        <w:widowControl/>
        <w:suppressLineNumbers w:val="0"/>
        <w:shd w:val="clear" w:color="auto" w:fill="FFFFFF"/>
        <w:spacing w:before="274" w:beforeAutospacing="0" w:after="274" w:afterAutospacing="0" w:line="576" w:lineRule="atLeast"/>
        <w:jc w:val="both"/>
        <w:rPr>
          <w:rFonts w:hint="eastAsia" w:ascii="黑体" w:hAnsi="宋体" w:eastAsia="黑体" w:cs="黑体"/>
          <w:color w:val="333333"/>
          <w:sz w:val="32"/>
          <w:szCs w:val="32"/>
          <w:shd w:val="clear" w:color="auto" w:fill="FFFFFF"/>
        </w:rPr>
      </w:pPr>
    </w:p>
    <w:p>
      <w:pPr>
        <w:pStyle w:val="4"/>
        <w:keepNext w:val="0"/>
        <w:keepLines w:val="0"/>
        <w:pageBreakBefore w:val="0"/>
        <w:widowControl/>
        <w:suppressLineNumbers w:val="0"/>
        <w:shd w:val="clear" w:color="auto" w:fill="FFFFFF"/>
        <w:spacing w:before="274" w:beforeAutospacing="0" w:after="274" w:afterAutospacing="0" w:line="576" w:lineRule="atLeast"/>
        <w:jc w:val="both"/>
      </w:pPr>
      <w:r>
        <w:rPr>
          <w:rFonts w:hint="eastAsia" w:ascii="黑体" w:hAnsi="宋体" w:eastAsia="黑体" w:cs="黑体"/>
          <w:color w:val="333333"/>
          <w:sz w:val="32"/>
          <w:szCs w:val="32"/>
          <w:shd w:val="clear" w:color="auto" w:fill="FFFFFF"/>
        </w:rPr>
        <w:t>四、政府信息公开行政复议、行政诉讼情况</w:t>
      </w:r>
    </w:p>
    <w:tbl>
      <w:tblPr>
        <w:tblStyle w:val="5"/>
        <w:tblW w:w="9510" w:type="dxa"/>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Layout w:type="autofit"/>
        <w:tblCellMar>
          <w:top w:w="0" w:type="dxa"/>
          <w:left w:w="0" w:type="dxa"/>
          <w:bottom w:w="0" w:type="dxa"/>
          <w:right w:w="0" w:type="dxa"/>
        </w:tblCellMar>
      </w:tblPr>
      <w:tblGrid>
        <w:gridCol w:w="471"/>
        <w:gridCol w:w="427"/>
        <w:gridCol w:w="427"/>
        <w:gridCol w:w="427"/>
        <w:gridCol w:w="1430"/>
        <w:gridCol w:w="378"/>
        <w:gridCol w:w="427"/>
        <w:gridCol w:w="427"/>
        <w:gridCol w:w="427"/>
        <w:gridCol w:w="1364"/>
        <w:gridCol w:w="427"/>
        <w:gridCol w:w="427"/>
        <w:gridCol w:w="428"/>
        <w:gridCol w:w="428"/>
        <w:gridCol w:w="1595"/>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271" w:hRule="atLeast"/>
          <w:jc w:val="center"/>
        </w:trPr>
        <w:tc>
          <w:tcPr>
            <w:tcW w:w="2850" w:type="dxa"/>
            <w:gridSpan w:val="5"/>
            <w:tcBorders>
              <w:top w:val="single" w:color="00000A" w:sz="8" w:space="0"/>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eastAsia" w:ascii="黑体" w:hAnsi="宋体" w:eastAsia="黑体" w:cs="黑体"/>
                <w:sz w:val="20"/>
                <w:szCs w:val="20"/>
              </w:rPr>
              <w:t>行政复议</w:t>
            </w:r>
          </w:p>
        </w:tc>
        <w:tc>
          <w:tcPr>
            <w:tcW w:w="5775" w:type="dxa"/>
            <w:gridSpan w:val="10"/>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黑体" w:hAnsi="宋体" w:eastAsia="黑体" w:cs="黑体"/>
                <w:sz w:val="20"/>
                <w:szCs w:val="20"/>
              </w:rPr>
              <w:t>行政诉讼</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restart"/>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spacing w:after="0" w:afterAutospacing="0"/>
              <w:ind w:left="0" w:right="0" w:firstLine="0"/>
              <w:jc w:val="center"/>
              <w:rPr>
                <w:sz w:val="19"/>
                <w:szCs w:val="19"/>
              </w:rPr>
            </w:pPr>
            <w:r>
              <w:rPr>
                <w:rFonts w:hint="eastAsia" w:ascii="黑体" w:hAnsi="宋体" w:eastAsia="黑体" w:cs="黑体"/>
                <w:sz w:val="20"/>
                <w:szCs w:val="20"/>
              </w:rPr>
              <w:t>结果</w:t>
            </w:r>
          </w:p>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维持</w:t>
            </w:r>
          </w:p>
        </w:tc>
        <w:tc>
          <w:tcPr>
            <w:tcW w:w="390" w:type="dxa"/>
            <w:vMerge w:val="restart"/>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结果纠正</w:t>
            </w:r>
          </w:p>
        </w:tc>
        <w:tc>
          <w:tcPr>
            <w:tcW w:w="390" w:type="dxa"/>
            <w:vMerge w:val="restart"/>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其他结果</w:t>
            </w:r>
          </w:p>
        </w:tc>
        <w:tc>
          <w:tcPr>
            <w:tcW w:w="390" w:type="dxa"/>
            <w:vMerge w:val="restart"/>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spacing w:after="0" w:afterAutospacing="0"/>
              <w:ind w:left="0" w:right="0" w:firstLine="0"/>
              <w:jc w:val="center"/>
              <w:rPr>
                <w:sz w:val="19"/>
                <w:szCs w:val="19"/>
              </w:rPr>
            </w:pPr>
            <w:r>
              <w:rPr>
                <w:rFonts w:hint="eastAsia" w:ascii="黑体" w:hAnsi="宋体" w:eastAsia="黑体" w:cs="黑体"/>
                <w:sz w:val="20"/>
                <w:szCs w:val="20"/>
              </w:rPr>
              <w:t>尚未</w:t>
            </w:r>
          </w:p>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审结</w:t>
            </w:r>
          </w:p>
        </w:tc>
        <w:tc>
          <w:tcPr>
            <w:tcW w:w="450" w:type="dxa"/>
            <w:vMerge w:val="restart"/>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spacing w:after="0" w:afterAutospacing="0"/>
              <w:ind w:left="0" w:firstLine="0"/>
              <w:jc w:val="center"/>
              <w:rPr>
                <w:sz w:val="19"/>
                <w:szCs w:val="19"/>
              </w:rPr>
            </w:pPr>
            <w:r>
              <w:rPr>
                <w:rFonts w:hint="eastAsia" w:ascii="黑体" w:hAnsi="宋体" w:eastAsia="黑体" w:cs="黑体"/>
                <w:sz w:val="20"/>
                <w:szCs w:val="20"/>
              </w:rPr>
              <w:t>总</w:t>
            </w:r>
          </w:p>
          <w:p>
            <w:pPr>
              <w:pStyle w:val="4"/>
              <w:keepNext w:val="0"/>
              <w:keepLines w:val="0"/>
              <w:widowControl/>
              <w:suppressLineNumbers w:val="0"/>
              <w:ind w:left="0" w:firstLine="0"/>
              <w:jc w:val="center"/>
              <w:rPr>
                <w:sz w:val="19"/>
                <w:szCs w:val="19"/>
              </w:rPr>
            </w:pPr>
            <w:r>
              <w:rPr>
                <w:rFonts w:hint="eastAsia" w:ascii="黑体" w:hAnsi="宋体" w:eastAsia="黑体" w:cs="黑体"/>
                <w:sz w:val="20"/>
                <w:szCs w:val="20"/>
              </w:rPr>
              <w:t>计</w:t>
            </w:r>
          </w:p>
        </w:tc>
        <w:tc>
          <w:tcPr>
            <w:tcW w:w="2760" w:type="dxa"/>
            <w:gridSpan w:val="5"/>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黑体" w:hAnsi="宋体" w:eastAsia="黑体" w:cs="黑体"/>
                <w:sz w:val="20"/>
                <w:szCs w:val="20"/>
              </w:rPr>
              <w:t>未经复议直接起诉</w:t>
            </w:r>
          </w:p>
        </w:tc>
        <w:tc>
          <w:tcPr>
            <w:tcW w:w="2805" w:type="dxa"/>
            <w:gridSpan w:val="5"/>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bookmarkStart w:id="10" w:name="_Hlk67039688"/>
            <w:bookmarkEnd w:id="10"/>
            <w:r>
              <w:rPr>
                <w:rFonts w:hint="eastAsia" w:ascii="黑体" w:hAnsi="宋体" w:eastAsia="黑体" w:cs="黑体"/>
                <w:sz w:val="20"/>
                <w:szCs w:val="20"/>
              </w:rPr>
              <w:t>复议后起诉</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vMerge w:val="continue"/>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rPr>
                <w:rFonts w:hint="eastAsia" w:ascii="宋体"/>
                <w:sz w:val="24"/>
                <w:szCs w:val="24"/>
              </w:rPr>
            </w:pPr>
          </w:p>
        </w:tc>
        <w:tc>
          <w:tcPr>
            <w:tcW w:w="390" w:type="dxa"/>
            <w:vMerge w:val="continue"/>
            <w:tcBorders>
              <w:top w:val="nil"/>
              <w:left w:val="nil"/>
              <w:bottom w:val="single" w:color="00000A" w:sz="8" w:space="0"/>
              <w:right w:val="single" w:color="00000A" w:sz="8" w:space="0"/>
            </w:tcBorders>
            <w:shd w:val="clear" w:color="auto" w:fill="FFFFFF"/>
            <w:noWrap w:val="0"/>
            <w:tcMar>
              <w:right w:w="115" w:type="dxa"/>
            </w:tcMar>
            <w:vAlign w:val="center"/>
          </w:tcPr>
          <w:p>
            <w:pPr>
              <w:rPr>
                <w:rFonts w:hint="eastAsia" w:ascii="宋体"/>
                <w:sz w:val="24"/>
                <w:szCs w:val="24"/>
              </w:rPr>
            </w:pPr>
          </w:p>
        </w:tc>
        <w:tc>
          <w:tcPr>
            <w:tcW w:w="390" w:type="dxa"/>
            <w:vMerge w:val="continue"/>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rPr>
                <w:rFonts w:hint="eastAsia" w:ascii="宋体"/>
                <w:sz w:val="24"/>
                <w:szCs w:val="24"/>
              </w:rPr>
            </w:pPr>
          </w:p>
        </w:tc>
        <w:tc>
          <w:tcPr>
            <w:tcW w:w="390" w:type="dxa"/>
            <w:vMerge w:val="continue"/>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rPr>
                <w:rFonts w:hint="eastAsia" w:ascii="宋体"/>
                <w:sz w:val="24"/>
                <w:szCs w:val="24"/>
              </w:rPr>
            </w:pPr>
          </w:p>
        </w:tc>
        <w:tc>
          <w:tcPr>
            <w:tcW w:w="450" w:type="dxa"/>
            <w:vMerge w:val="continue"/>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rPr>
                <w:rFonts w:hint="eastAsia" w:ascii="宋体"/>
                <w:sz w:val="24"/>
                <w:szCs w:val="24"/>
              </w:rPr>
            </w:pPr>
          </w:p>
        </w:tc>
        <w:tc>
          <w:tcPr>
            <w:tcW w:w="345"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结果维持</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结果纠正</w:t>
            </w:r>
          </w:p>
        </w:tc>
        <w:tc>
          <w:tcPr>
            <w:tcW w:w="390" w:type="dxa"/>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spacing w:after="0" w:afterAutospacing="0"/>
              <w:ind w:left="0" w:right="0" w:firstLine="0"/>
              <w:jc w:val="center"/>
              <w:rPr>
                <w:sz w:val="19"/>
                <w:szCs w:val="19"/>
              </w:rPr>
            </w:pPr>
            <w:r>
              <w:rPr>
                <w:rFonts w:hint="eastAsia" w:ascii="黑体" w:hAnsi="宋体" w:eastAsia="黑体" w:cs="黑体"/>
                <w:sz w:val="20"/>
                <w:szCs w:val="20"/>
              </w:rPr>
              <w:t>其他</w:t>
            </w:r>
          </w:p>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结果</w:t>
            </w:r>
          </w:p>
        </w:tc>
        <w:tc>
          <w:tcPr>
            <w:tcW w:w="390" w:type="dxa"/>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spacing w:after="0" w:afterAutospacing="0"/>
              <w:ind w:left="0" w:right="0" w:firstLine="0"/>
              <w:jc w:val="center"/>
              <w:rPr>
                <w:sz w:val="19"/>
                <w:szCs w:val="19"/>
              </w:rPr>
            </w:pPr>
            <w:r>
              <w:rPr>
                <w:rFonts w:hint="eastAsia" w:ascii="黑体" w:hAnsi="宋体" w:eastAsia="黑体" w:cs="黑体"/>
                <w:sz w:val="20"/>
                <w:szCs w:val="20"/>
              </w:rPr>
              <w:t>尚未</w:t>
            </w:r>
          </w:p>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审结</w:t>
            </w:r>
          </w:p>
        </w:tc>
        <w:tc>
          <w:tcPr>
            <w:tcW w:w="390" w:type="dxa"/>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黑体" w:hAnsi="宋体" w:eastAsia="黑体" w:cs="黑体"/>
                <w:sz w:val="20"/>
                <w:szCs w:val="20"/>
              </w:rPr>
              <w:t>总计</w:t>
            </w:r>
          </w:p>
        </w:tc>
        <w:tc>
          <w:tcPr>
            <w:tcW w:w="390" w:type="dxa"/>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结果维持</w:t>
            </w:r>
          </w:p>
        </w:tc>
        <w:tc>
          <w:tcPr>
            <w:tcW w:w="390" w:type="dxa"/>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spacing w:after="0" w:afterAutospacing="0"/>
              <w:ind w:left="0" w:right="0" w:firstLine="0"/>
              <w:jc w:val="center"/>
              <w:rPr>
                <w:sz w:val="19"/>
                <w:szCs w:val="19"/>
              </w:rPr>
            </w:pPr>
            <w:r>
              <w:rPr>
                <w:rFonts w:hint="eastAsia" w:ascii="黑体" w:hAnsi="宋体" w:eastAsia="黑体" w:cs="黑体"/>
                <w:sz w:val="20"/>
                <w:szCs w:val="20"/>
              </w:rPr>
              <w:t>结果</w:t>
            </w:r>
          </w:p>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纠正</w:t>
            </w:r>
          </w:p>
        </w:tc>
        <w:tc>
          <w:tcPr>
            <w:tcW w:w="390" w:type="dxa"/>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spacing w:after="0" w:afterAutospacing="0"/>
              <w:ind w:left="0" w:right="0" w:firstLine="0"/>
              <w:jc w:val="center"/>
              <w:rPr>
                <w:sz w:val="19"/>
                <w:szCs w:val="19"/>
              </w:rPr>
            </w:pPr>
            <w:r>
              <w:rPr>
                <w:rFonts w:hint="eastAsia" w:ascii="黑体" w:hAnsi="宋体" w:eastAsia="黑体" w:cs="黑体"/>
                <w:sz w:val="20"/>
                <w:szCs w:val="20"/>
              </w:rPr>
              <w:t>其他</w:t>
            </w:r>
          </w:p>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结果</w:t>
            </w:r>
          </w:p>
        </w:tc>
        <w:tc>
          <w:tcPr>
            <w:tcW w:w="390" w:type="dxa"/>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right="0" w:firstLine="0"/>
              <w:jc w:val="center"/>
              <w:rPr>
                <w:sz w:val="19"/>
                <w:szCs w:val="19"/>
              </w:rPr>
            </w:pPr>
            <w:r>
              <w:rPr>
                <w:rFonts w:hint="eastAsia" w:ascii="黑体" w:hAnsi="宋体" w:eastAsia="黑体" w:cs="黑体"/>
                <w:sz w:val="20"/>
                <w:szCs w:val="20"/>
              </w:rPr>
              <w:t>尚未审结</w:t>
            </w:r>
          </w:p>
        </w:tc>
        <w:tc>
          <w:tcPr>
            <w:tcW w:w="375" w:type="dxa"/>
            <w:tcBorders>
              <w:top w:val="single" w:color="00000A" w:sz="8" w:space="0"/>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eastAsia" w:ascii="黑体" w:hAnsi="宋体" w:eastAsia="黑体" w:cs="黑体"/>
                <w:sz w:val="20"/>
                <w:szCs w:val="20"/>
              </w:rPr>
              <w:t>总计</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jc w:val="center"/>
        </w:trPr>
        <w:tc>
          <w:tcPr>
            <w:tcW w:w="375" w:type="dxa"/>
            <w:tcBorders>
              <w:top w:val="nil"/>
              <w:left w:val="single" w:color="00000A" w:sz="8" w:space="0"/>
              <w:bottom w:val="single" w:color="00000A" w:sz="8" w:space="0"/>
              <w:right w:val="single" w:color="00000A" w:sz="8" w:space="0"/>
            </w:tcBorders>
            <w:shd w:val="clear" w:color="auto" w:fill="FFFFFF"/>
            <w:noWrap w:val="0"/>
            <w:tcMar>
              <w:left w:w="115" w:type="dxa"/>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45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45"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90"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c>
          <w:tcPr>
            <w:tcW w:w="375" w:type="dxa"/>
            <w:tcBorders>
              <w:top w:val="nil"/>
              <w:left w:val="nil"/>
              <w:bottom w:val="single" w:color="00000A" w:sz="8" w:space="0"/>
              <w:right w:val="single" w:color="00000A" w:sz="8" w:space="0"/>
            </w:tcBorders>
            <w:shd w:val="clear" w:color="auto" w:fill="FFFFFF"/>
            <w:noWrap w:val="0"/>
            <w:tcMar>
              <w:right w:w="115" w:type="dxa"/>
            </w:tcMar>
            <w:vAlign w:val="center"/>
          </w:tcPr>
          <w:p>
            <w:pPr>
              <w:pStyle w:val="4"/>
              <w:keepNext w:val="0"/>
              <w:keepLines w:val="0"/>
              <w:widowControl/>
              <w:suppressLineNumbers w:val="0"/>
              <w:ind w:left="0" w:firstLine="0"/>
              <w:jc w:val="center"/>
              <w:rPr>
                <w:sz w:val="19"/>
                <w:szCs w:val="19"/>
              </w:rPr>
            </w:pPr>
            <w:r>
              <w:rPr>
                <w:rFonts w:hint="default" w:ascii="Times New Roman" w:hAnsi="Times New Roman" w:cs="Times New Roman"/>
                <w:sz w:val="19"/>
                <w:szCs w:val="19"/>
              </w:rPr>
              <w:t>0</w:t>
            </w:r>
          </w:p>
        </w:tc>
      </w:tr>
    </w:tbl>
    <w:p>
      <w:pPr>
        <w:pStyle w:val="4"/>
        <w:keepNext w:val="0"/>
        <w:keepLines w:val="0"/>
        <w:pageBreakBefore w:val="0"/>
        <w:widowControl/>
        <w:suppressLineNumbers w:val="0"/>
        <w:shd w:val="clear" w:color="auto" w:fill="FFFFFF"/>
        <w:spacing w:before="274" w:beforeAutospacing="0" w:after="274" w:afterAutospacing="0" w:line="576" w:lineRule="atLeast"/>
        <w:jc w:val="both"/>
        <w:rPr>
          <w:rFonts w:hint="eastAsia" w:ascii="黑体" w:hAnsi="宋体" w:eastAsia="黑体" w:cs="黑体"/>
          <w:color w:val="333333"/>
          <w:sz w:val="32"/>
          <w:szCs w:val="32"/>
          <w:shd w:val="clear" w:color="auto" w:fill="FFFFFF"/>
        </w:rPr>
      </w:pPr>
    </w:p>
    <w:p>
      <w:pPr>
        <w:pStyle w:val="4"/>
        <w:keepNext w:val="0"/>
        <w:keepLines w:val="0"/>
        <w:pageBreakBefore w:val="0"/>
        <w:widowControl/>
        <w:suppressLineNumbers w:val="0"/>
        <w:shd w:val="clear" w:color="auto" w:fill="FFFFFF"/>
        <w:spacing w:before="274" w:beforeAutospacing="0" w:after="274" w:afterAutospacing="0" w:line="576" w:lineRule="atLeast"/>
        <w:ind w:firstLine="640" w:firstLineChars="200"/>
        <w:jc w:val="both"/>
      </w:pPr>
      <w:r>
        <w:rPr>
          <w:rFonts w:hint="eastAsia" w:ascii="黑体" w:hAnsi="宋体" w:eastAsia="黑体" w:cs="黑体"/>
          <w:color w:val="333333"/>
          <w:sz w:val="32"/>
          <w:szCs w:val="32"/>
          <w:shd w:val="clear" w:color="auto" w:fill="FFFFFF"/>
        </w:rPr>
        <w:t>五、存在的主要问题及改进情况</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（一）存在的主要问题</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2023年我局在政府信息公开工作方面，虽然取得了一定的成效，但仍存在一定的差距和不足。</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1.信息公开意识仍需加强。工作人员信息公开的业务需要进一步的培训加强。</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2.政策解读能力亟需提高。政策解读力度不够，解读形式大多以文字解读为主，缺少创新，解读质量和效果不理想。</w:t>
      </w:r>
    </w:p>
    <w:p>
      <w:pPr>
        <w:pStyle w:val="4"/>
        <w:keepNext w:val="0"/>
        <w:keepLines w:val="0"/>
        <w:widowControl/>
        <w:suppressLineNumbers w:val="0"/>
        <w:spacing w:line="368" w:lineRule="atLeast"/>
        <w:ind w:left="0" w:firstLine="420"/>
        <w:jc w:val="both"/>
      </w:pPr>
      <w:r>
        <w:rPr>
          <w:rFonts w:hint="eastAsia" w:ascii="楷体_GB2312" w:eastAsia="楷体_GB2312" w:cs="楷体_GB2312"/>
          <w:sz w:val="31"/>
          <w:szCs w:val="31"/>
        </w:rPr>
        <w:t>（二）改进情况及下一步工作打算</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1.加强组织领导。继续认真贯彻落实《条例》，做好政务公开工作，进一步完善工作机制。提高思想认识，加大对各科室、政府信息公开负责人的培训力度，学习国务院、省、市印发的关于政府信息公开工作的相关制度，提高广大干部职工的政府公开重视程度和工作能力；</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2.加强政务公开制度建设。加大政府信息和政务公开工作透明度，动态调整信息公开目录，做好信息公开专栏的日常维护。扎实做好依申请公开工作，优化依申请公开办理流程和机制，不断提高答复工作质量。</w:t>
      </w:r>
    </w:p>
    <w:p>
      <w:pPr>
        <w:pStyle w:val="4"/>
        <w:keepNext w:val="0"/>
        <w:keepLines w:val="0"/>
        <w:pageBreakBefore w:val="0"/>
        <w:widowControl/>
        <w:suppressLineNumbers w:val="0"/>
        <w:shd w:val="clear" w:color="auto" w:fill="FFFFFF"/>
        <w:spacing w:before="274" w:beforeAutospacing="0" w:after="274" w:afterAutospacing="0" w:line="576" w:lineRule="atLeast"/>
        <w:ind w:left="0" w:firstLine="634"/>
        <w:jc w:val="both"/>
      </w:pPr>
      <w:r>
        <w:rPr>
          <w:rFonts w:hint="eastAsia" w:ascii="黑体" w:hAnsi="宋体" w:eastAsia="黑体" w:cs="黑体"/>
          <w:color w:val="333333"/>
          <w:sz w:val="32"/>
          <w:szCs w:val="32"/>
          <w:shd w:val="clear" w:color="auto" w:fill="FFFFFF"/>
        </w:rPr>
        <w:t>六、其他需要报告的事项</w:t>
      </w:r>
    </w:p>
    <w:p>
      <w:pPr>
        <w:pStyle w:val="4"/>
        <w:keepNext w:val="0"/>
        <w:keepLines w:val="0"/>
        <w:pageBreakBefore w:val="0"/>
        <w:widowControl/>
        <w:suppressLineNumbers w:val="0"/>
        <w:shd w:val="clear" w:color="auto" w:fill="FFFFFF"/>
        <w:spacing w:before="274" w:beforeAutospacing="0" w:after="274" w:afterAutospacing="0" w:line="576" w:lineRule="atLeast"/>
        <w:ind w:left="0" w:firstLine="634"/>
        <w:jc w:val="both"/>
        <w:rPr>
          <w:rFonts w:hint="eastAsia" w:ascii="楷体" w:hAnsi="楷体" w:eastAsia="楷体" w:cs="楷体"/>
          <w:color w:val="333333"/>
          <w:sz w:val="32"/>
          <w:szCs w:val="32"/>
          <w:shd w:val="clear" w:color="auto" w:fill="FFFFFF"/>
          <w:lang w:eastAsia="zh-CN"/>
        </w:rPr>
      </w:pPr>
      <w:r>
        <w:rPr>
          <w:rFonts w:hint="eastAsia" w:ascii="楷体" w:hAnsi="楷体" w:eastAsia="楷体" w:cs="楷体"/>
          <w:color w:val="333333"/>
          <w:sz w:val="32"/>
          <w:szCs w:val="32"/>
          <w:shd w:val="clear" w:color="auto" w:fill="FFFFFF"/>
        </w:rPr>
        <w:t>（一）</w:t>
      </w:r>
      <w:r>
        <w:rPr>
          <w:rFonts w:hint="eastAsia" w:ascii="楷体" w:hAnsi="楷体" w:eastAsia="楷体" w:cs="楷体"/>
          <w:color w:val="333333"/>
          <w:sz w:val="32"/>
          <w:szCs w:val="32"/>
          <w:shd w:val="clear" w:color="auto" w:fill="FFFFFF"/>
          <w:lang w:eastAsia="zh-CN"/>
        </w:rPr>
        <w:t>政府</w:t>
      </w:r>
      <w:r>
        <w:rPr>
          <w:rFonts w:hint="eastAsia" w:ascii="楷体" w:hAnsi="楷体" w:eastAsia="楷体" w:cs="楷体"/>
          <w:color w:val="333333"/>
          <w:sz w:val="32"/>
          <w:szCs w:val="32"/>
          <w:shd w:val="clear" w:color="auto" w:fill="FFFFFF"/>
        </w:rPr>
        <w:t>公开信息处理费</w:t>
      </w:r>
      <w:r>
        <w:rPr>
          <w:rFonts w:hint="eastAsia" w:ascii="楷体" w:hAnsi="楷体" w:eastAsia="楷体" w:cs="楷体"/>
          <w:color w:val="333333"/>
          <w:sz w:val="32"/>
          <w:szCs w:val="32"/>
          <w:shd w:val="clear" w:color="auto" w:fill="FFFFFF"/>
          <w:lang w:eastAsia="zh-CN"/>
        </w:rPr>
        <w:t>情况</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2023年，枣庄市文化和旅游局依据《政府信息公开信息处理费管理办法》规定，收到并处理的政府信息公开申请中不包含符合收取信息处理费的情况，特此说明。</w:t>
      </w:r>
    </w:p>
    <w:p>
      <w:pPr>
        <w:pStyle w:val="4"/>
        <w:keepNext w:val="0"/>
        <w:keepLines w:val="0"/>
        <w:pageBreakBefore w:val="0"/>
        <w:widowControl/>
        <w:numPr>
          <w:ilvl w:val="0"/>
          <w:numId w:val="1"/>
        </w:numPr>
        <w:suppressLineNumbers w:val="0"/>
        <w:shd w:val="clear" w:color="auto" w:fill="FFFFFF"/>
        <w:spacing w:before="274" w:beforeAutospacing="0" w:after="274" w:afterAutospacing="0" w:line="576" w:lineRule="atLeast"/>
        <w:ind w:left="0" w:leftChars="0" w:firstLine="648" w:firstLineChars="0"/>
        <w:jc w:val="both"/>
        <w:rPr>
          <w:rFonts w:hint="eastAsia" w:ascii="楷体" w:hAnsi="楷体" w:eastAsia="楷体" w:cs="楷体"/>
          <w:color w:val="333333"/>
          <w:sz w:val="32"/>
          <w:szCs w:val="32"/>
          <w:shd w:val="clear" w:color="auto" w:fill="FFFFFF"/>
          <w:lang w:val="en-US" w:eastAsia="zh-CN"/>
        </w:rPr>
      </w:pPr>
      <w:r>
        <w:rPr>
          <w:rFonts w:hint="eastAsia" w:ascii="楷体" w:hAnsi="楷体" w:eastAsia="楷体" w:cs="楷体"/>
          <w:color w:val="333333"/>
          <w:sz w:val="32"/>
          <w:szCs w:val="32"/>
          <w:shd w:val="clear" w:color="auto" w:fill="FFFFFF"/>
          <w:lang w:val="en-US" w:eastAsia="zh-CN"/>
        </w:rPr>
        <w:t>落实上级政务公开工作要点情况</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加大政务公开工作推进力度，制定2023年政务公开工作要点，每季度调度一次政务公开推进情况。规范主动公开内容。按照公开内容、责任科室、公开时限、公开方式等要素，依据《政府信息公开条例》，编制《枣庄市文化和旅游局2023年主动公开基本目录》，通过官网进行公示，推进政务公开工作规范化开展。及时准确公开重要决策部署进展及落实情况。</w:t>
      </w:r>
    </w:p>
    <w:p>
      <w:pPr>
        <w:pStyle w:val="4"/>
        <w:keepNext w:val="0"/>
        <w:keepLines w:val="0"/>
        <w:pageBreakBefore w:val="0"/>
        <w:widowControl/>
        <w:suppressLineNumbers w:val="0"/>
        <w:shd w:val="clear" w:color="auto" w:fill="FFFFFF"/>
        <w:spacing w:before="274" w:beforeAutospacing="0" w:after="274" w:afterAutospacing="0" w:line="576" w:lineRule="atLeast"/>
        <w:ind w:left="0" w:firstLine="634"/>
        <w:jc w:val="both"/>
        <w:rPr>
          <w:rFonts w:hint="eastAsia" w:ascii="楷体" w:hAnsi="楷体" w:eastAsia="楷体" w:cs="楷体"/>
          <w:color w:val="333333"/>
          <w:sz w:val="32"/>
          <w:szCs w:val="32"/>
          <w:shd w:val="clear" w:color="auto" w:fill="FFFFFF"/>
        </w:rPr>
      </w:pPr>
      <w:r>
        <w:rPr>
          <w:rFonts w:hint="eastAsia" w:ascii="楷体" w:hAnsi="楷体" w:eastAsia="楷体" w:cs="楷体"/>
          <w:color w:val="333333"/>
          <w:sz w:val="32"/>
          <w:szCs w:val="32"/>
          <w:shd w:val="clear" w:color="auto" w:fill="FFFFFF"/>
        </w:rPr>
        <w:t>（</w:t>
      </w:r>
      <w:r>
        <w:rPr>
          <w:rFonts w:hint="eastAsia" w:ascii="楷体" w:hAnsi="楷体" w:eastAsia="楷体" w:cs="楷体"/>
          <w:color w:val="333333"/>
          <w:sz w:val="32"/>
          <w:szCs w:val="32"/>
          <w:shd w:val="clear" w:color="auto" w:fill="FFFFFF"/>
          <w:lang w:eastAsia="zh-CN"/>
        </w:rPr>
        <w:t>三</w:t>
      </w:r>
      <w:r>
        <w:rPr>
          <w:rFonts w:hint="eastAsia" w:ascii="楷体" w:hAnsi="楷体" w:eastAsia="楷体" w:cs="楷体"/>
          <w:color w:val="333333"/>
          <w:sz w:val="32"/>
          <w:szCs w:val="32"/>
          <w:shd w:val="clear" w:color="auto" w:fill="FFFFFF"/>
        </w:rPr>
        <w:t>）202</w:t>
      </w:r>
      <w:r>
        <w:rPr>
          <w:rFonts w:hint="eastAsia" w:ascii="楷体" w:hAnsi="楷体" w:eastAsia="楷体" w:cs="楷体"/>
          <w:color w:val="333333"/>
          <w:sz w:val="32"/>
          <w:szCs w:val="32"/>
          <w:shd w:val="clear" w:color="auto" w:fill="FFFFFF"/>
          <w:lang w:val="en-US" w:eastAsia="zh-CN"/>
        </w:rPr>
        <w:t>3</w:t>
      </w:r>
      <w:r>
        <w:rPr>
          <w:rFonts w:hint="eastAsia" w:ascii="楷体" w:hAnsi="楷体" w:eastAsia="楷体" w:cs="楷体"/>
          <w:color w:val="333333"/>
          <w:sz w:val="32"/>
          <w:szCs w:val="32"/>
          <w:shd w:val="clear" w:color="auto" w:fill="FFFFFF"/>
        </w:rPr>
        <w:t>年建议提案办理总体情况</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2023年度，市文化和旅游局共收到市十七届人大二次会议代表建议12件，已按时办理和答复12件；共收到市政协十一届二次会议提案43件，已按时办理和答复43件，意见办理和长期采纳率100%。</w:t>
      </w:r>
    </w:p>
    <w:p>
      <w:pPr>
        <w:keepNext w:val="0"/>
        <w:keepLines w:val="0"/>
        <w:widowControl/>
        <w:suppressLineNumbers w:val="0"/>
        <w:ind w:firstLine="640" w:firstLineChars="200"/>
        <w:jc w:val="left"/>
      </w:pPr>
      <w:r>
        <w:rPr>
          <w:rFonts w:hint="eastAsia" w:ascii="楷体" w:hAnsi="楷体" w:eastAsia="楷体" w:cs="楷体"/>
          <w:color w:val="333333"/>
          <w:sz w:val="32"/>
          <w:szCs w:val="32"/>
          <w:shd w:val="clear" w:color="auto" w:fill="FFFFFF"/>
        </w:rPr>
        <w:t>（四）</w:t>
      </w:r>
      <w:r>
        <w:rPr>
          <w:rFonts w:hint="eastAsia" w:ascii="楷体" w:hAnsi="楷体" w:eastAsia="楷体" w:cs="楷体"/>
          <w:color w:val="333333"/>
          <w:sz w:val="32"/>
          <w:szCs w:val="32"/>
          <w:shd w:val="clear" w:color="auto" w:fill="FFFFFF"/>
          <w:lang w:eastAsia="zh-CN"/>
        </w:rPr>
        <w:t>部门</w:t>
      </w:r>
      <w:r>
        <w:rPr>
          <w:rFonts w:hint="eastAsia" w:ascii="楷体" w:hAnsi="楷体" w:eastAsia="楷体" w:cs="楷体"/>
          <w:color w:val="333333"/>
          <w:sz w:val="32"/>
          <w:szCs w:val="32"/>
          <w:shd w:val="clear" w:color="auto" w:fill="FFFFFF"/>
        </w:rPr>
        <w:t>政务公开工作创新</w:t>
      </w:r>
      <w:r>
        <w:rPr>
          <w:rFonts w:hint="eastAsia" w:ascii="楷体" w:hAnsi="楷体" w:eastAsia="楷体" w:cs="楷体"/>
          <w:color w:val="333333"/>
          <w:sz w:val="32"/>
          <w:szCs w:val="32"/>
          <w:shd w:val="clear" w:color="auto" w:fill="FFFFFF"/>
          <w:lang w:eastAsia="zh-CN"/>
        </w:rPr>
        <w:t>实践</w:t>
      </w:r>
      <w:r>
        <w:rPr>
          <w:rFonts w:hint="eastAsia" w:ascii="楷体" w:hAnsi="楷体" w:eastAsia="楷体" w:cs="楷体"/>
          <w:color w:val="333333"/>
          <w:sz w:val="32"/>
          <w:szCs w:val="32"/>
          <w:shd w:val="clear" w:color="auto" w:fill="FFFFFF"/>
        </w:rPr>
        <w:t>情况</w:t>
      </w:r>
    </w:p>
    <w:p>
      <w:pPr>
        <w:keepNext w:val="0"/>
        <w:keepLines w:val="0"/>
        <w:widowControl/>
        <w:suppressLineNumbers w:val="0"/>
        <w:ind w:firstLine="640" w:firstLineChars="200"/>
        <w:jc w:val="both"/>
        <w:rPr>
          <w:rFonts w:hint="eastAsia" w:ascii="仿宋_GB2312" w:hAnsi="Calibri" w:eastAsia="仿宋_GB2312" w:cs="仿宋_GB2312"/>
          <w:kern w:val="0"/>
          <w:sz w:val="32"/>
          <w:szCs w:val="32"/>
          <w:shd w:val="clear" w:color="auto" w:fill="FFFFFF"/>
          <w:lang w:val="en-US" w:eastAsia="zh-CN" w:bidi="ar"/>
        </w:rPr>
      </w:pPr>
      <w:r>
        <w:rPr>
          <w:rFonts w:hint="eastAsia" w:ascii="仿宋_GB2312" w:hAnsi="Calibri" w:eastAsia="仿宋_GB2312" w:cs="仿宋_GB2312"/>
          <w:kern w:val="0"/>
          <w:sz w:val="32"/>
          <w:szCs w:val="32"/>
          <w:shd w:val="clear" w:color="auto" w:fill="FFFFFF"/>
          <w:lang w:val="en-US" w:eastAsia="zh-CN" w:bidi="ar"/>
        </w:rPr>
        <w:t>采取多渠道公开，用好政务新媒体，传播文旅好声音。打造特色文旅栏目，积极挖掘文化旅游资源，策划打造“山东手造匠心枣庄”、“文化惠民多彩生活”、“‘近’享枣庄”、“文化润心满意枣庄”等特色栏目，让新媒体平台的文章更具有多样性，更多的群众都能依托政务新媒体平台了解我市丰富的传统文化资源和多彩的群众文化活动。</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2000000000000000000"/>
    <w:charset w:val="86"/>
    <w:family w:val="auto"/>
    <w:pitch w:val="default"/>
    <w:sig w:usb0="A00002BF" w:usb1="38CF7CFA" w:usb2="00082016" w:usb3="00000000" w:csb0="00040001"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FEE9F6"/>
    <w:multiLevelType w:val="singleLevel"/>
    <w:tmpl w:val="A7FEE9F6"/>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522134"/>
    <w:rsid w:val="07CE0EEB"/>
    <w:rsid w:val="095FCE25"/>
    <w:rsid w:val="192581DC"/>
    <w:rsid w:val="2F9F2A55"/>
    <w:rsid w:val="3BFF707E"/>
    <w:rsid w:val="3F7A7F73"/>
    <w:rsid w:val="3FAA0EA0"/>
    <w:rsid w:val="3FEDD59A"/>
    <w:rsid w:val="3FF3087A"/>
    <w:rsid w:val="4CFEF01C"/>
    <w:rsid w:val="4FBE00E1"/>
    <w:rsid w:val="5BF318FB"/>
    <w:rsid w:val="5DC9C509"/>
    <w:rsid w:val="5F7F4A59"/>
    <w:rsid w:val="67FF9896"/>
    <w:rsid w:val="69DF5948"/>
    <w:rsid w:val="77EEAC4B"/>
    <w:rsid w:val="77FB4566"/>
    <w:rsid w:val="77FFE45B"/>
    <w:rsid w:val="79777444"/>
    <w:rsid w:val="79BF0267"/>
    <w:rsid w:val="7A522134"/>
    <w:rsid w:val="7CF702DA"/>
    <w:rsid w:val="7EFFFFC7"/>
    <w:rsid w:val="7F3E6CAD"/>
    <w:rsid w:val="7FBFC1C3"/>
    <w:rsid w:val="9FA7FB2B"/>
    <w:rsid w:val="B5728511"/>
    <w:rsid w:val="BFABEB9E"/>
    <w:rsid w:val="D5FFD3C7"/>
    <w:rsid w:val="D6EF66B2"/>
    <w:rsid w:val="DFBF1E52"/>
    <w:rsid w:val="DFFF68C3"/>
    <w:rsid w:val="E7FEB5FA"/>
    <w:rsid w:val="E87F053D"/>
    <w:rsid w:val="EDFA52C8"/>
    <w:rsid w:val="EE7C8B31"/>
    <w:rsid w:val="EFFA6C40"/>
    <w:rsid w:val="F6F71BCC"/>
    <w:rsid w:val="FB7F8B1D"/>
    <w:rsid w:val="FCF7AD69"/>
    <w:rsid w:val="FCFFC0C0"/>
    <w:rsid w:val="FDF97015"/>
    <w:rsid w:val="FF76A8E5"/>
    <w:rsid w:val="FF79CF49"/>
    <w:rsid w:val="FFFAD95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2"/>
    <w:basedOn w:val="1"/>
    <w:next w:val="1"/>
    <w:unhideWhenUsed/>
    <w:qFormat/>
    <w:uiPriority w:val="0"/>
    <w:pPr>
      <w:spacing w:before="100" w:beforeAutospacing="1" w:after="100" w:afterAutospacing="1"/>
      <w:jc w:val="left"/>
    </w:pPr>
    <w:rPr>
      <w:rFonts w:hint="eastAsia" w:ascii="宋体" w:hAnsi="宋体" w:eastAsia="宋体" w:cs="宋体"/>
      <w:b/>
      <w:kern w:val="0"/>
      <w:sz w:val="36"/>
      <w:szCs w:val="36"/>
      <w:lang w:val="en-US" w:eastAsia="zh-CN" w:bidi="ar"/>
    </w:rPr>
  </w:style>
  <w:style w:type="character" w:default="1" w:styleId="6">
    <w:name w:val="Default Paragraph Font"/>
    <w:semiHidden/>
    <w:qFormat/>
    <w:uiPriority w:val="0"/>
  </w:style>
  <w:style w:type="table" w:default="1" w:styleId="5">
    <w:name w:val="Normal Table"/>
    <w:semiHidden/>
    <w:qFormat/>
    <w:uiPriority w:val="0"/>
    <w:tblPr>
      <w:tblStyle w:val="5"/>
      <w:tblCellMar>
        <w:top w:w="0" w:type="dxa"/>
        <w:left w:w="108" w:type="dxa"/>
        <w:bottom w:w="0" w:type="dxa"/>
        <w:right w:w="108" w:type="dxa"/>
      </w:tblCellMar>
    </w:tblPr>
  </w:style>
  <w:style w:type="paragraph" w:styleId="2">
    <w:name w:val="Body Text Indent 2"/>
    <w:basedOn w:val="1"/>
    <w:qFormat/>
    <w:uiPriority w:val="99"/>
    <w:pPr>
      <w:spacing w:line="620" w:lineRule="exact"/>
      <w:ind w:firstLine="723" w:firstLineChars="200"/>
    </w:pPr>
    <w:rPr>
      <w:rFonts w:ascii="黑体" w:eastAsia="黑体" w:cs="黑体"/>
      <w:b/>
      <w:bCs/>
      <w:sz w:val="36"/>
      <w:szCs w:val="36"/>
    </w:rPr>
  </w:style>
  <w:style w:type="paragraph" w:styleId="4">
    <w:name w:val="Normal (Web)"/>
    <w:basedOn w:val="1"/>
    <w:uiPriority w:val="0"/>
    <w:pPr>
      <w:spacing w:before="100" w:beforeAutospacing="1" w:after="10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jpe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248.333333333333</TotalTime>
  <ScaleCrop>false</ScaleCrop>
  <LinksUpToDate>false</LinksUpToDate>
  <CharactersWithSpaces>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2024-01-15T07:32:00Z</dcterms:created>
  <dc:creator>user</dc:creator>
  <cp:lastModifiedBy>user</cp:lastModifiedBy>
  <dcterms:modified xsi:type="dcterms:W3CDTF">2024-05-30T09:52:14Z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ies>
</file>