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val="en-US" w:eastAsia="zh-CN"/>
        </w:rPr>
        <w:t>枣庄</w:t>
      </w: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</w:rPr>
        <w:t>市</w:t>
      </w: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eastAsia="zh-CN"/>
        </w:rPr>
        <w:t>文化和旅游局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center"/>
        <w:textAlignment w:val="auto"/>
        <w:rPr>
          <w:rFonts w:ascii="仿宋_GB2312" w:hAnsi="微软雅黑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</w:rPr>
        <w:t>20</w:t>
      </w: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val="en-US" w:eastAsia="zh-CN"/>
        </w:rPr>
        <w:t>22</w:t>
      </w: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</w:rPr>
        <w:t>年度政府信息公开工作年度报告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5"/>
        <w:jc w:val="left"/>
        <w:textAlignment w:val="auto"/>
        <w:rPr>
          <w:rFonts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5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本报告根据《中华人民共和国政府信息公开条例》（以下简称《条例》）要求，结合2022年枣庄市文化和旅游局政府信息公开工作实际编制而成。内容包括总体情况、主动公开政府信息情况、收到和处理政府信息公开申请情况、政府信息公开行政复议、行政诉讼情况、存在的主要问题及改进情况、其他需要报告的事项，以及相关指标统计附表、附图等。本年度报告中所列数据统计期限从2022年1月1日到12月31日止。本年度报告电子版可从枣庄市人民政府门户网站（http://www.zaozhuang.gov.cn/）下载。如对本年度报告有疑问，请与枣庄市文化和旅游局联系（电话:0632—3355600，电子邮箱:zzwljbgs@zz.shandong.cn）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5"/>
        <w:jc w:val="left"/>
        <w:textAlignment w:val="auto"/>
        <w:rPr>
          <w:rFonts w:hint="eastAsia" w:ascii="微软雅黑" w:hAnsi="微软雅黑" w:eastAsia="黑体" w:cs="微软雅黑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一、</w:t>
      </w:r>
      <w:r>
        <w:rPr>
          <w:rFonts w:hint="eastAsia" w:ascii="黑体" w:hAnsi="宋体" w:eastAsia="黑体" w:cs="黑体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t>总体情况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5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202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年，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枣庄市文化和旅游局高度重视政务公开工作，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认真贯彻落实《条例》及有关文件精神，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结合文旅工作实际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，积极开展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政府信息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公开工作。截至202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年年底，我局政府信息公开工作运行正常，确保政府信息各项工作全面落实到位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，切实保障群众的知情权、参与权和监督权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5"/>
        <w:jc w:val="left"/>
        <w:textAlignment w:val="auto"/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楷体_GBK" w:hAnsi="方正楷体_GBK" w:eastAsia="方正楷体_GBK" w:cs="方正楷体_GBK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（一）主动公开情况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5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市文化和旅游局积极开展政务公开工作，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为保证全年政府信息公开报送工作的及时和完整，坚持公开为常态、不公开为例外的原则，注重夯实基础突出重点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。按照公开内容、责任科室、公开时限、公开方式等要素，依据《条例》，编制了《枣庄市文化和旅游局2022年度政务公开主动公开基本目录》，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全年主动公开信息数量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473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，其中，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通过枣庄市政府信息公开平台主动公开信息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138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，发布政策文件和会议解读6篇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。积极通过政务微博、微信公众号等电子政务形式，向社会提供便捷、高效、广泛的公开服务，全年发布微博政务信息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1992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条、微信政务信息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1059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条。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55" w:lineRule="atLeast"/>
        <w:ind w:left="0" w:right="0" w:firstLine="0"/>
        <w:jc w:val="center"/>
        <w:textAlignment w:val="auto"/>
        <w:rPr>
          <w:rFonts w:hint="default" w:ascii="仿宋_GB2312" w:hAnsi="微软雅黑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4043045" cy="3780790"/>
            <wp:effectExtent l="0" t="0" r="14605" b="1016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55" w:lineRule="atLeast"/>
        <w:ind w:left="0" w:right="0" w:firstLine="0"/>
        <w:jc w:val="center"/>
        <w:textAlignment w:val="auto"/>
        <w:rPr>
          <w:rFonts w:hint="eastAsia" w:ascii="仿宋_GB2312" w:hAnsi="微软雅黑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inline distT="0" distB="0" distL="114300" distR="114300">
            <wp:extent cx="4028440" cy="3917950"/>
            <wp:effectExtent l="0" t="0" r="10160" b="635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  <w:t>（二）依申请公开情况。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5"/>
        <w:jc w:val="left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坚持以人民为中心，认真贯彻落实《中华人民共和国政府信息公开条例》要求，严格落实依申请公开办理流程，依照《政府信息公开申请答复告知书模板》，依法规范答复政府信息公开申请。2022年，我局共新收政府信息公开申请1件，与2021年接收申请数量相同。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  <w:t>（三）</w:t>
      </w: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</w:rPr>
        <w:t>政府信息管理情况。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市文化和旅游局十分重视政务公开工作，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成立了政府信息公开领导小组，明确了政府信息公开工作的组织领导体制和工作职责，严格落实责任，依法履行公开义务。政府信息公开和发布的协调工作，由我局分管领导负责，局办公室人员具体落实。对相关文化文物旅游活动和文化旅游动态、各类法律法规和规范性文件等，严格遵守信息发布规定与秩序，全面维护我局政府信息的严肃性、一致性、准确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我局将政府信息公开有关要求落实到日常具体工作中，在文件起草、决策事项、制定计划等过程中，同步确定信息公开属性，认真登记存档，属于主动公开的政府信息及时公开。严格涉密信息审查，确保涉密信息不上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2022年我局未制定部门规范性文件，保有往年制发规范性文件1件，继续有效，无其它规范性文件。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  <w:t>（四）</w:t>
      </w: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</w:rPr>
        <w:t>政府信息公开平台建设情况。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市文化和旅游局坚持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以便民、惠民、利民为出发点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，以局官方网站、枣庄市人民政府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门户网站的“信息公开”专栏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和“文旅枣庄”微信公众号、政务微博等政务新媒体为主要抓手，扎实推进政务公开平台建设，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扩大政务信息的传播力和影响力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2022年，“文旅枣庄”微信公众号共发布信息1059篇，总阅读达24万人次，粉丝总数3.5万人；微博平台共发布信息1992篇，总阅读740万余次，粉丝总数70.4万人；头条号共发布信息1242篇，总阅读22万余次，粉丝总数1万人，抖音号共推送视频105篇，总播放3.3万次，粉丝总数1.5万人；微信视频号累计发布227个作品，共计播放12万次，粉丝总数1300余人。其中，“文旅枣庄”微博及头条号居全市政务新媒体传播力排行榜综合排名前十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997585</wp:posOffset>
            </wp:positionH>
            <wp:positionV relativeFrom="page">
              <wp:posOffset>4509770</wp:posOffset>
            </wp:positionV>
            <wp:extent cx="3621405" cy="3406140"/>
            <wp:effectExtent l="0" t="0" r="17145" b="3810"/>
            <wp:wrapTopAndBottom/>
            <wp:docPr id="7" name="图片 3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true"/>
                    </pic:cNvPicPr>
                  </pic:nvPicPr>
                  <pic:blipFill>
                    <a:blip r:embed="rId6"/>
                    <a:srcRect t="30912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  <w:t>（五）</w:t>
      </w: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</w:rPr>
        <w:t>监督保障情况。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2799715</wp:posOffset>
            </wp:positionH>
            <wp:positionV relativeFrom="page">
              <wp:posOffset>1104900</wp:posOffset>
            </wp:positionV>
            <wp:extent cx="2855595" cy="3260725"/>
            <wp:effectExtent l="0" t="0" r="1905" b="15875"/>
            <wp:wrapTopAndBottom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rcRect b="16775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-172720</wp:posOffset>
            </wp:positionH>
            <wp:positionV relativeFrom="page">
              <wp:posOffset>1143000</wp:posOffset>
            </wp:positionV>
            <wp:extent cx="2962275" cy="3188970"/>
            <wp:effectExtent l="0" t="0" r="9525" b="11430"/>
            <wp:wrapTopAndBottom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一是健全组织领导机制。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及时调整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政府信息公开领导小组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，由局党组成员、副局长担任组长，领导小组办公室设在局办公室，指定一名工作人员专职负责政务公开工作。二是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强化管理和责任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我局从组织领导、公开内容、公开形式、公开期限、内容审核等方面对政府信息公开工作做出具体规定，进一步提高政府信息公开工作管理水平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。三是加强政务公开工作培训，2022年度进行了2次政务公开培训，有效提高了局机关工作人员主动公开意识。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/>
        <w:jc w:val="both"/>
        <w:textAlignment w:val="auto"/>
        <w:rPr>
          <w:rFonts w:ascii="黑体" w:hAnsi="黑体" w:eastAsia="黑体" w:cs="黑体"/>
          <w:color w:val="333333"/>
          <w:sz w:val="32"/>
          <w:szCs w:val="32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</w:rPr>
        <w:t>二、主动公开政府信息情况</w:t>
      </w:r>
    </w:p>
    <w:tbl>
      <w:tblPr>
        <w:tblStyle w:val="3"/>
        <w:tblW w:w="88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2206"/>
        <w:gridCol w:w="2206"/>
        <w:gridCol w:w="22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第二十条第（一）项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本年制发件数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本年废止件数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现行有效件数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规章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行政规范性文件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第二十条第（五）项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行政许可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第二十条第（六）项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行政处罚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行政强制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第二十条第（八）项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行政事业性收费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jc w:val="both"/>
        <w:textAlignment w:val="auto"/>
        <w:rPr>
          <w:rFonts w:ascii="宋体" w:hAnsi="宋体" w:eastAsia="宋体" w:cs="宋体"/>
          <w:color w:val="333333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-199" w:leftChars="-95" w:firstLine="618"/>
        <w:jc w:val="both"/>
        <w:textAlignment w:val="auto"/>
        <w:rPr>
          <w:rFonts w:hint="eastAsia" w:ascii="黑体" w:hAnsi="黑体" w:eastAsia="黑体" w:cs="黑体"/>
          <w:b w:val="0"/>
          <w:bCs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黑体"/>
          <w:b w:val="0"/>
          <w:bCs/>
          <w:color w:val="333333"/>
          <w:sz w:val="32"/>
          <w:szCs w:val="32"/>
          <w:shd w:val="clear" w:color="auto" w:fill="FFFFFF"/>
        </w:rPr>
        <w:t>收到和处理政府信息公开申请情况</w:t>
      </w:r>
    </w:p>
    <w:tbl>
      <w:tblPr>
        <w:tblStyle w:val="3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093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楷体_GB2312" w:hAnsi="黑体" w:eastAsia="楷体_GB2312"/>
                <w:kern w:val="0"/>
                <w:szCs w:val="21"/>
              </w:rPr>
            </w:pPr>
            <w:r>
              <w:rPr>
                <w:rFonts w:hint="eastAsia" w:ascii="楷体_GB2312" w:hAnsi="黑体" w:eastAsia="楷体_GB2312"/>
                <w:kern w:val="0"/>
                <w:szCs w:val="21"/>
              </w:rPr>
              <w:t>（本列数据的勾稽关系为：第一项加第二项之和，</w:t>
            </w:r>
          </w:p>
          <w:p>
            <w:pPr>
              <w:widowControl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楷体_GB2312" w:hAnsi="黑体" w:eastAsia="楷体_GB2312"/>
                <w:kern w:val="0"/>
                <w:szCs w:val="21"/>
              </w:rPr>
              <w:t>等于第三项加第四项之和）</w:t>
            </w:r>
          </w:p>
        </w:tc>
        <w:tc>
          <w:tcPr>
            <w:tcW w:w="4820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2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自然人</w:t>
            </w:r>
          </w:p>
        </w:tc>
        <w:tc>
          <w:tcPr>
            <w:tcW w:w="3140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总计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  <w:tc>
          <w:tcPr>
            <w:tcW w:w="829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商业企业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科研机构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ind w:left="-63" w:leftChars="-30" w:right="-134" w:rightChars="-64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ascii="仿宋_GB2312" w:hAnsi="Times New Roman" w:eastAsia="仿宋_GB2312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一、</w:t>
            </w:r>
            <w:bookmarkStart w:id="0" w:name="_Hlk66973412"/>
            <w:r>
              <w:rPr>
                <w:rFonts w:hint="eastAsia" w:ascii="黑体" w:hAnsi="黑体" w:eastAsia="黑体"/>
                <w:kern w:val="0"/>
                <w:szCs w:val="21"/>
              </w:rPr>
              <w:t>本年新收政府信息公开申请数量</w:t>
            </w:r>
            <w:bookmarkEnd w:id="0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三、本年度办理结果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（一）予以公开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仿宋_GB2312" w:hAnsi="Times New Roman" w:eastAsia="仿宋_GB2312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（二）部分公开（</w:t>
            </w:r>
            <w:bookmarkStart w:id="1" w:name="_Hlk66973981"/>
            <w:r>
              <w:rPr>
                <w:rFonts w:hint="eastAsia" w:ascii="黑体" w:hAnsi="黑体" w:eastAsia="黑体"/>
                <w:kern w:val="0"/>
                <w:szCs w:val="21"/>
              </w:rPr>
              <w:t>区分处理的，只计这一情形，不计其他情形</w:t>
            </w:r>
            <w:bookmarkEnd w:id="1"/>
            <w:r>
              <w:rPr>
                <w:rFonts w:hint="eastAsia" w:ascii="黑体" w:hAnsi="黑体" w:eastAsia="黑体"/>
                <w:kern w:val="0"/>
                <w:szCs w:val="21"/>
              </w:rPr>
              <w:t>）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（三）不予公开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1.属于国家秘密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</w:t>
            </w:r>
            <w:bookmarkStart w:id="2" w:name="_Hlk66974104"/>
            <w:r>
              <w:rPr>
                <w:rFonts w:hint="eastAsia" w:ascii="仿宋_GB2312" w:hAnsi="黑体" w:eastAsia="仿宋_GB2312"/>
                <w:kern w:val="0"/>
                <w:szCs w:val="21"/>
              </w:rPr>
              <w:t>其他法律行政法规禁止公开</w:t>
            </w:r>
            <w:bookmarkEnd w:id="2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3.危及“三安全一稳定”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4.</w:t>
            </w:r>
            <w:bookmarkStart w:id="3" w:name="_Hlk66974290"/>
            <w:r>
              <w:rPr>
                <w:rFonts w:hint="eastAsia" w:ascii="仿宋_GB2312" w:hAnsi="黑体" w:eastAsia="仿宋_GB2312"/>
                <w:kern w:val="0"/>
                <w:szCs w:val="21"/>
              </w:rPr>
              <w:t>保护第三方合法权益</w:t>
            </w:r>
            <w:bookmarkEnd w:id="3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5.属于三类内部事务信息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6.</w:t>
            </w:r>
            <w:bookmarkStart w:id="4" w:name="_Hlk66974555"/>
            <w:r>
              <w:rPr>
                <w:rFonts w:hint="eastAsia" w:ascii="仿宋_GB2312" w:hAnsi="黑体" w:eastAsia="仿宋_GB2312"/>
                <w:kern w:val="0"/>
                <w:szCs w:val="21"/>
              </w:rPr>
              <w:t>属于四类过程性信息</w:t>
            </w:r>
            <w:bookmarkEnd w:id="4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7.属于行政执法案卷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8.</w:t>
            </w:r>
            <w:bookmarkStart w:id="5" w:name="_Hlk66975211"/>
            <w:r>
              <w:rPr>
                <w:rFonts w:hint="eastAsia" w:ascii="仿宋_GB2312" w:hAnsi="黑体" w:eastAsia="仿宋_GB2312"/>
                <w:kern w:val="0"/>
                <w:szCs w:val="21"/>
              </w:rPr>
              <w:t>属于行政查询事项</w:t>
            </w:r>
            <w:bookmarkEnd w:id="5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（四）无法提供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1.本机关不掌握相关政府信息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</w:t>
            </w:r>
            <w:bookmarkStart w:id="6" w:name="_Hlk66975392"/>
            <w:r>
              <w:rPr>
                <w:rFonts w:hint="eastAsia" w:ascii="仿宋_GB2312" w:hAnsi="黑体" w:eastAsia="仿宋_GB2312"/>
                <w:kern w:val="0"/>
                <w:szCs w:val="21"/>
              </w:rPr>
              <w:t>没有现成信息需要另行制作</w:t>
            </w:r>
            <w:bookmarkEnd w:id="6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</w:t>
            </w:r>
            <w:bookmarkStart w:id="7" w:name="_Hlk66975466"/>
            <w:r>
              <w:rPr>
                <w:rFonts w:hint="eastAsia" w:ascii="仿宋_GB2312" w:hAnsi="黑体" w:eastAsia="仿宋_GB2312"/>
                <w:kern w:val="0"/>
                <w:szCs w:val="21"/>
              </w:rPr>
              <w:t>补正后申请内容仍不明确</w:t>
            </w:r>
            <w:bookmarkEnd w:id="7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（五）不予处理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1.</w:t>
            </w:r>
            <w:bookmarkStart w:id="8" w:name="_Hlk66975537"/>
            <w:r>
              <w:rPr>
                <w:rFonts w:hint="eastAsia" w:ascii="仿宋_GB2312" w:hAnsi="黑体" w:eastAsia="仿宋_GB2312"/>
                <w:kern w:val="0"/>
                <w:szCs w:val="21"/>
              </w:rPr>
              <w:t>信访举报投诉类申请</w:t>
            </w:r>
            <w:bookmarkEnd w:id="8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2.重复申请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3.要求提供公开出版物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4.无正当理由大量反复申请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5.要求行政机关确认或重新</w:t>
            </w:r>
          </w:p>
          <w:p>
            <w:pPr>
              <w:widowControl/>
              <w:spacing w:line="300" w:lineRule="exact"/>
              <w:ind w:firstLine="210" w:firstLineChars="100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kern w:val="0"/>
                <w:szCs w:val="21"/>
              </w:rPr>
              <w:t>出具已获取信息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（六）其他处理</w:t>
            </w: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ascii="仿宋_GB2312" w:hAnsi="楷体" w:eastAsia="仿宋_GB2312"/>
              </w:rPr>
            </w:pPr>
            <w:r>
              <w:rPr>
                <w:rFonts w:hint="eastAsia" w:ascii="仿宋_GB2312" w:hAnsi="楷体" w:eastAsia="仿宋_GB2312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楷体" w:eastAsia="仿宋_GB2312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ascii="仿宋_GB2312" w:hAnsi="黑体" w:eastAsia="仿宋_GB2312"/>
                <w:kern w:val="0"/>
                <w:szCs w:val="21"/>
              </w:rPr>
            </w:pPr>
            <w:r>
              <w:rPr>
                <w:rFonts w:hint="eastAsia" w:ascii="仿宋_GB2312" w:hAnsi="楷体" w:eastAsia="仿宋_GB2312"/>
              </w:rPr>
              <w:t>3.其他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（七）总计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ascii="黑体" w:hAnsi="黑体" w:eastAsia="黑体"/>
                <w:kern w:val="0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Cs w:val="21"/>
              </w:rPr>
              <w:t>四、结转下年度继续办理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ascii="仿宋_GB2312" w:hAnsi="Times New Roman" w:eastAsia="仿宋_GB2312"/>
                <w:szCs w:val="21"/>
              </w:rPr>
            </w:pPr>
            <w:r>
              <w:rPr>
                <w:rFonts w:hint="eastAsia" w:ascii="仿宋_GB2312" w:hAnsi="Times New Roman" w:eastAsia="仿宋_GB2312"/>
                <w:szCs w:val="21"/>
                <w:lang w:val="en-US" w:eastAsia="zh-CN"/>
              </w:rPr>
              <w:t>0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ascii="宋体" w:hAnsi="宋体" w:eastAsia="宋体" w:cs="宋体"/>
          <w:color w:val="333333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  <w:lang w:eastAsia="zh-CN"/>
        </w:rPr>
        <w:t>四、政府信息公开行政复议、行政诉讼情况</w:t>
      </w:r>
    </w:p>
    <w:tbl>
      <w:tblPr>
        <w:tblStyle w:val="3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49" w:leftChars="-71" w:right="-170" w:rightChars="-81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49" w:leftChars="-71" w:right="-170" w:rightChars="-81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43" w:leftChars="-21" w:right="-132" w:rightChars="-63" w:hanging="1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2" w:leftChars="-39" w:right="-97" w:rightChars="-46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18" w:leftChars="-56" w:right="-118" w:rightChars="-56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18" w:leftChars="-56" w:right="-118" w:rightChars="-56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spacing w:line="320" w:lineRule="exact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bookmarkStart w:id="9" w:name="_Hlk67039688"/>
            <w:r>
              <w:rPr>
                <w:rFonts w:ascii="黑体" w:hAnsi="黑体" w:eastAsia="黑体"/>
                <w:kern w:val="0"/>
                <w:sz w:val="20"/>
                <w:szCs w:val="20"/>
              </w:rPr>
              <w:t>复议后起诉</w:t>
            </w:r>
            <w:bookmarkEnd w:id="9"/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黑体" w:hAnsi="黑体" w:eastAsia="黑体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05" w:leftChars="-50" w:right="-126" w:rightChars="-60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6" w:leftChars="-41" w:right="-88" w:rightChars="-42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26" w:leftChars="-60" w:right="-136" w:rightChars="-65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26" w:leftChars="-60" w:right="-136" w:rightChars="-65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64" w:leftChars="-78" w:right="-153" w:rightChars="-73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64" w:leftChars="-78" w:right="-153" w:rightChars="-73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99" w:leftChars="-47" w:right="-78" w:rightChars="-37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36" w:leftChars="-65" w:right="-124" w:rightChars="-59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36" w:leftChars="-65" w:right="-124" w:rightChars="-59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73" w:leftChars="-83" w:right="-134" w:rightChars="-64" w:hanging="1"/>
              <w:jc w:val="center"/>
              <w:rPr>
                <w:rFonts w:ascii="黑体" w:hAnsi="黑体" w:eastAsia="黑体"/>
                <w:kern w:val="0"/>
                <w:sz w:val="20"/>
                <w:szCs w:val="20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73" w:leftChars="-83" w:right="-134" w:rightChars="-64" w:hanging="1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67" w:leftChars="-33" w:right="-105" w:rightChars="-50" w:hanging="2" w:hangingChars="1"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0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  <w:lang w:eastAsia="zh-CN"/>
        </w:rPr>
        <w:t>五、存在的主要问题及改进情况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eastAsia="zh-CN"/>
        </w:rPr>
        <w:t>（一）存在的主要问题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202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年我局在政府信息公开工作方面，虽然取得了一定的成效，但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仍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存在一定的差距和不足。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一是政务公开的内容不够全面，公开程度需要进一步扩大加深。政务公开是一件长做长新的工作，市民和游客的需求不断变化，市委、市政府的要求不断提高，这对政务公开工作提出了更高要求，我们需要进一步扩大信息公开范围；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政策、会议解读形式不够丰富。政策文件、会议解读情况多以通过文字进行解读，通过图表图解、音频、视频、动漫等形式解读的少。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  <w:t>（二）改进情况及下一步工作打算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针对上述问题，我局积极改进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一是进一步提高认识，提升站位。深入学习贯彻习近平新时代中国特色社会主义思想，深入贯彻以人民为中心发展思想，将做好政府信息公开工作摆在更加突出位置，进一步</w:t>
      </w:r>
      <w:bookmarkStart w:id="10" w:name="_GoBack"/>
      <w:bookmarkEnd w:id="10"/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加强组织领导，完善工作机制。二是要继续严格按照政务公开要求，规范公开各类事项，进一步完善局权责清单和机构职能目录等并按要求公开，推进政务服务标准化、规范化、便利化，加大“双随机一公开”监管、公共服务等信息公开力度；三是把控公开信息质量关，通过政务公开工作培训，提升公开意识，加强政策解读工作，调动信息提供科室的积极性和责任感，考察学习先进部门做法，切实提升工作人员能力素质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  <w:lang w:eastAsia="zh-CN"/>
        </w:rPr>
        <w:t>六、</w:t>
      </w:r>
      <w:r>
        <w:rPr>
          <w:rFonts w:hint="eastAsia" w:ascii="黑体" w:hAnsi="黑体" w:eastAsia="黑体" w:cs="宋体"/>
          <w:color w:val="333333"/>
          <w:sz w:val="32"/>
          <w:szCs w:val="32"/>
          <w:shd w:val="clear" w:color="auto" w:fill="FFFFFF"/>
        </w:rPr>
        <w:t>其他需要报告的事项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  <w:t>（一）2022年建议提案办理总体情况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2022年，市文化和旅游局共承办市十六届人大五次会议人大代表建议9件，市政协十届五次会议委员提案46件。所有承办的建议提案均在规定的答复时限内答复完毕，并将55件答复件进行了主动公开。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  <w:t>（二）政府信息公开信息处理费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2022年，枣庄市文化和旅游局严格依照《政府信息公开信息处理费管理办法》加强对政府信息收费管理，将为民办实事落到实处，未收取政府信息公开信息处理费。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  <w:t>落实上级年度政务公开工作要点情况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1.加大政务公开工作推进力度。调整局政务公开工作领导小组，制定2022年政务公开工作要点，每季度调度一次政务公开推进情况。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2.规范主动公开内容。按照公开内容、责任科室、公开时限、公开方式等要素，依据《政府信息公开条例》，编制《枣庄市文化和旅游局2022年主动公开基本目录》，通过官网进行公示，推进政务公开工作规范化开展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3.及时准确公开重要决策部署进展及落实情况。主动公开市文化和旅游局2021年重点任务公开承诺事项工作进展、取得成效、后续举措和落实情况。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both"/>
        <w:textAlignment w:val="auto"/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" w:hAnsi="楷体" w:eastAsia="楷体" w:cs="宋体"/>
          <w:color w:val="333333"/>
          <w:sz w:val="32"/>
          <w:szCs w:val="32"/>
          <w:shd w:val="clear" w:color="auto" w:fill="FFFFFF"/>
          <w:lang w:val="en-US" w:eastAsia="zh-CN"/>
        </w:rPr>
        <w:t>（四）本年度政务公开工作创新情况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1.用好政务新媒体，传播文旅好声音。</w:t>
      </w:r>
      <w:r>
        <w:rPr>
          <w:rFonts w:hint="eastAsia" w:ascii="仿宋_GB2312" w:hAnsi="仿宋_GB2312" w:eastAsia="仿宋_GB2312" w:cs="仿宋_GB2312"/>
          <w:sz w:val="32"/>
          <w:szCs w:val="32"/>
        </w:rPr>
        <w:t>打造特色文旅栏目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积极挖掘文化旅游资源，策划打造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“山东手造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匠心枣庄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”、“文化惠民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多彩生活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”、“‘近’享枣庄”、“文化润心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满意枣庄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”等特色栏目，</w:t>
      </w:r>
      <w:r>
        <w:rPr>
          <w:rFonts w:hint="eastAsia" w:ascii="仿宋_GB2312" w:hAnsi="仿宋_GB2312" w:eastAsia="仿宋_GB2312" w:cs="仿宋_GB2312"/>
          <w:sz w:val="32"/>
          <w:szCs w:val="32"/>
        </w:rPr>
        <w:t>让新媒体平台的文章更具有多样性，更多的群众都能依托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政务新媒体</w:t>
      </w:r>
      <w:r>
        <w:rPr>
          <w:rFonts w:hint="eastAsia" w:ascii="仿宋_GB2312" w:hAnsi="仿宋_GB2312" w:eastAsia="仿宋_GB2312" w:cs="仿宋_GB2312"/>
          <w:sz w:val="32"/>
          <w:szCs w:val="32"/>
        </w:rPr>
        <w:t>平台了解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我市</w:t>
      </w:r>
      <w:r>
        <w:rPr>
          <w:rFonts w:hint="eastAsia" w:ascii="仿宋_GB2312" w:hAnsi="仿宋_GB2312" w:eastAsia="仿宋_GB2312" w:cs="仿宋_GB2312"/>
          <w:sz w:val="32"/>
          <w:szCs w:val="32"/>
        </w:rPr>
        <w:t>丰富的传统文化资源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和多彩的群众文化活动。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2.宣传文旅亮点工作。围绕群众文化生活满意度提升攻坚行动，发布各类群众文化活动信息150余条；利用重要节假日节点，适时推出“粽”情端午 “近”享枣庄、趣游端午假期、五一去哪儿等旅游路线；在新冠疫情期间，我局推出“文化抗‘疫’ ‘艺’起加油”栏目，发布我市原创文艺作品，向逆行英雄致敬，弘扬正能量，助力抗疫。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枣庄市文化和旅游局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firstLine="640" w:firstLineChars="200"/>
        <w:jc w:val="right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2023年1月16日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FF539E"/>
    <w:multiLevelType w:val="singleLevel"/>
    <w:tmpl w:val="91FF539E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EFC5F35"/>
    <w:multiLevelType w:val="singleLevel"/>
    <w:tmpl w:val="7EFC5F3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2F7443"/>
    <w:rsid w:val="0FBE7C5D"/>
    <w:rsid w:val="27FF7E84"/>
    <w:rsid w:val="2BDB1C20"/>
    <w:rsid w:val="2EFD31FE"/>
    <w:rsid w:val="2FF3947A"/>
    <w:rsid w:val="307961C5"/>
    <w:rsid w:val="332F7443"/>
    <w:rsid w:val="39BE120E"/>
    <w:rsid w:val="39FD9B26"/>
    <w:rsid w:val="3BE9A277"/>
    <w:rsid w:val="3F7FEAF9"/>
    <w:rsid w:val="3FBF804A"/>
    <w:rsid w:val="3FCF340A"/>
    <w:rsid w:val="40FF79FF"/>
    <w:rsid w:val="4DFB44D6"/>
    <w:rsid w:val="536EDE65"/>
    <w:rsid w:val="53FA6788"/>
    <w:rsid w:val="578E1189"/>
    <w:rsid w:val="57E39D0F"/>
    <w:rsid w:val="5D1F3F5B"/>
    <w:rsid w:val="5D7EA290"/>
    <w:rsid w:val="5F2E261E"/>
    <w:rsid w:val="679A4358"/>
    <w:rsid w:val="67EFC7A7"/>
    <w:rsid w:val="69FAF19D"/>
    <w:rsid w:val="6B7F0F69"/>
    <w:rsid w:val="6FBB4EF8"/>
    <w:rsid w:val="6FFEFFA5"/>
    <w:rsid w:val="73FFA634"/>
    <w:rsid w:val="74FF6BD2"/>
    <w:rsid w:val="75BF74EE"/>
    <w:rsid w:val="75FE8660"/>
    <w:rsid w:val="75FFF20C"/>
    <w:rsid w:val="767F5F73"/>
    <w:rsid w:val="76FFD645"/>
    <w:rsid w:val="77DE3478"/>
    <w:rsid w:val="77FC74B2"/>
    <w:rsid w:val="77FF67BA"/>
    <w:rsid w:val="7AFFE013"/>
    <w:rsid w:val="7BDB9E42"/>
    <w:rsid w:val="7DB07561"/>
    <w:rsid w:val="7E7F561A"/>
    <w:rsid w:val="7EBB999A"/>
    <w:rsid w:val="7EDCB58F"/>
    <w:rsid w:val="7F0DCF3F"/>
    <w:rsid w:val="7F3608CC"/>
    <w:rsid w:val="7F7D2AF7"/>
    <w:rsid w:val="7FB477E0"/>
    <w:rsid w:val="7FBA37D8"/>
    <w:rsid w:val="7FCF15B4"/>
    <w:rsid w:val="7FDF47F2"/>
    <w:rsid w:val="7FDFF367"/>
    <w:rsid w:val="7FF54FA1"/>
    <w:rsid w:val="7FF6CF6E"/>
    <w:rsid w:val="7FFD470F"/>
    <w:rsid w:val="87BF587E"/>
    <w:rsid w:val="87DF4F46"/>
    <w:rsid w:val="9BCDA78A"/>
    <w:rsid w:val="9FFB028F"/>
    <w:rsid w:val="AB992B4D"/>
    <w:rsid w:val="ABBD5DEB"/>
    <w:rsid w:val="AE9BCD69"/>
    <w:rsid w:val="AECA189C"/>
    <w:rsid w:val="AFCB669D"/>
    <w:rsid w:val="B439A760"/>
    <w:rsid w:val="B9CB7724"/>
    <w:rsid w:val="BCD75502"/>
    <w:rsid w:val="BD7B9916"/>
    <w:rsid w:val="BE5A3991"/>
    <w:rsid w:val="BE6EBDC3"/>
    <w:rsid w:val="BED1B6F5"/>
    <w:rsid w:val="BF770E96"/>
    <w:rsid w:val="BFDD79F9"/>
    <w:rsid w:val="BFF432B1"/>
    <w:rsid w:val="C08AC20F"/>
    <w:rsid w:val="CCF74CDB"/>
    <w:rsid w:val="CFF9E4B4"/>
    <w:rsid w:val="D1FD7C72"/>
    <w:rsid w:val="D9759764"/>
    <w:rsid w:val="DA5E9F67"/>
    <w:rsid w:val="DA9B1ADB"/>
    <w:rsid w:val="DBFD50E3"/>
    <w:rsid w:val="DCF10D66"/>
    <w:rsid w:val="DE7FFEA1"/>
    <w:rsid w:val="DEFB248F"/>
    <w:rsid w:val="DFDAADEF"/>
    <w:rsid w:val="DFDB1CB3"/>
    <w:rsid w:val="DFFB967C"/>
    <w:rsid w:val="DFFF65DA"/>
    <w:rsid w:val="E73EFE5D"/>
    <w:rsid w:val="E7FF5BA9"/>
    <w:rsid w:val="EB7B4652"/>
    <w:rsid w:val="EBBE3FFE"/>
    <w:rsid w:val="EBFAA960"/>
    <w:rsid w:val="EDDB8160"/>
    <w:rsid w:val="EE756E54"/>
    <w:rsid w:val="EED72F62"/>
    <w:rsid w:val="EFCD518F"/>
    <w:rsid w:val="EFDBFFB8"/>
    <w:rsid w:val="EFE6DFEA"/>
    <w:rsid w:val="F2DF7405"/>
    <w:rsid w:val="F4D6808C"/>
    <w:rsid w:val="F51CA330"/>
    <w:rsid w:val="F57F6E18"/>
    <w:rsid w:val="F5A32847"/>
    <w:rsid w:val="F5FCA488"/>
    <w:rsid w:val="F61EF5C5"/>
    <w:rsid w:val="F69E3B30"/>
    <w:rsid w:val="F6FF3B1B"/>
    <w:rsid w:val="F77D50BF"/>
    <w:rsid w:val="F7C9E7CB"/>
    <w:rsid w:val="F97A01D8"/>
    <w:rsid w:val="F99B61F4"/>
    <w:rsid w:val="F9FFFA84"/>
    <w:rsid w:val="FB8FBE10"/>
    <w:rsid w:val="FBF7DFAE"/>
    <w:rsid w:val="FD9B4DC2"/>
    <w:rsid w:val="FDCF6396"/>
    <w:rsid w:val="FDE78CA3"/>
    <w:rsid w:val="FDFD51C6"/>
    <w:rsid w:val="FDFD758C"/>
    <w:rsid w:val="FEFB25E0"/>
    <w:rsid w:val="FEFBEEEB"/>
    <w:rsid w:val="FEFECE95"/>
    <w:rsid w:val="FF576E50"/>
    <w:rsid w:val="FF67538E"/>
    <w:rsid w:val="FF7C00C7"/>
    <w:rsid w:val="FF7DF4F2"/>
    <w:rsid w:val="FFBF1EE8"/>
    <w:rsid w:val="FFCF6EC9"/>
    <w:rsid w:val="FFCFF5BB"/>
    <w:rsid w:val="FFFD1B30"/>
    <w:rsid w:val="FFFD4FF3"/>
    <w:rsid w:val="FF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2023-01-17T23:17:00Z</dcterms:created>
  <dc:creator>user</dc:creator>
  <cp:lastModifiedBy>user</cp:lastModifiedBy>
  <cp:lastPrinted>2023-01-20T02:07:00Z</cp:lastPrinted>
  <dcterms:modified xsi:type="dcterms:W3CDTF">2023-02-03T10:42:18Z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