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60" w:lineRule="exact"/>
        <w:jc w:val="center"/>
        <w:textAlignment w:val="auto"/>
        <w:rPr>
          <w:rFonts w:hint="eastAsia" w:ascii="方正小标宋简体" w:hAnsi="方正小标宋简体" w:eastAsia="方正小标宋简体" w:cs="方正小标宋简体"/>
          <w:color w:val="333333"/>
          <w:sz w:val="44"/>
          <w:szCs w:val="44"/>
          <w:shd w:val="clear" w:color="auto" w:fill="FFFFFF"/>
          <w:lang w:eastAsia="zh-CN"/>
        </w:rPr>
      </w:pPr>
      <w:r>
        <w:rPr>
          <w:rFonts w:hint="eastAsia" w:ascii="方正小标宋简体" w:hAnsi="方正小标宋简体" w:eastAsia="方正小标宋简体" w:cs="方正小标宋简体"/>
          <w:color w:val="333333"/>
          <w:sz w:val="44"/>
          <w:szCs w:val="44"/>
          <w:shd w:val="clear" w:color="auto" w:fill="FFFFFF"/>
        </w:rPr>
        <w:t>市</w:t>
      </w:r>
      <w:r>
        <w:rPr>
          <w:rFonts w:hint="eastAsia" w:ascii="方正小标宋简体" w:hAnsi="方正小标宋简体" w:eastAsia="方正小标宋简体" w:cs="方正小标宋简体"/>
          <w:color w:val="333333"/>
          <w:sz w:val="44"/>
          <w:szCs w:val="44"/>
          <w:shd w:val="clear" w:color="auto" w:fill="FFFFFF"/>
          <w:lang w:eastAsia="zh-CN"/>
        </w:rPr>
        <w:t>文化和旅游局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60" w:lineRule="exact"/>
        <w:jc w:val="center"/>
        <w:textAlignment w:val="auto"/>
        <w:rPr>
          <w:rFonts w:ascii="宋体" w:hAnsi="宋体" w:eastAsia="宋体" w:cs="宋体"/>
          <w:color w:val="333333"/>
          <w:sz w:val="44"/>
          <w:szCs w:val="44"/>
        </w:rPr>
      </w:pPr>
      <w:r>
        <w:rPr>
          <w:rFonts w:hint="eastAsia" w:ascii="方正小标宋简体" w:hAnsi="方正小标宋简体" w:eastAsia="方正小标宋简体" w:cs="方正小标宋简体"/>
          <w:color w:val="333333"/>
          <w:sz w:val="44"/>
          <w:szCs w:val="44"/>
          <w:shd w:val="clear" w:color="auto" w:fill="FFFFFF"/>
        </w:rPr>
        <w:t>2019年度政府信息公开工作年度报告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0" w:firstLineChars="200"/>
        <w:jc w:val="both"/>
        <w:textAlignment w:val="auto"/>
        <w:rPr>
          <w:rFonts w:hint="eastAsia" w:ascii="黑体" w:hAnsi="黑体" w:eastAsia="黑体" w:cs="黑体"/>
          <w:color w:val="333333"/>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一、总体情况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2019年以来，市文化和旅游局认真贯彻落实《中华人民共和国政府信息公开条例》和《山东省政府信息公开办法》有关精神，按照市政府对政府信息公开工作的统一部署，进一步加强组织领导，积极推进主动公开，强化政府信息公开管理工作，确保了文化和旅游领域政府信息公开工作取得了较好成效。</w:t>
      </w:r>
      <w:r>
        <w:rPr>
          <w:rFonts w:hint="eastAsia" w:ascii="仿宋_GB2312" w:hAnsi="宋体" w:eastAsia="仿宋_GB2312" w:cs="宋体"/>
          <w:color w:val="333333"/>
          <w:sz w:val="32"/>
          <w:szCs w:val="32"/>
          <w:shd w:val="clear" w:color="auto" w:fill="FFFFFF"/>
          <w:lang w:val="en-US" w:eastAsia="zh-CN"/>
        </w:rPr>
        <w:br w:type="textWrapping"/>
      </w:r>
      <w:r>
        <w:rPr>
          <w:rFonts w:hint="eastAsia" w:ascii="仿宋_GB2312" w:hAnsi="宋体" w:eastAsia="仿宋_GB2312" w:cs="宋体"/>
          <w:color w:val="333333"/>
          <w:sz w:val="32"/>
          <w:szCs w:val="32"/>
          <w:shd w:val="clear" w:color="auto" w:fill="FFFFFF"/>
          <w:lang w:val="en-US" w:eastAsia="zh-CN"/>
        </w:rPr>
        <w:t>　　</w:t>
      </w:r>
      <w:r>
        <w:rPr>
          <w:rFonts w:hint="eastAsia" w:ascii="楷体_GB2312" w:hAnsi="楷体_GB2312" w:eastAsia="楷体_GB2312" w:cs="楷体_GB2312"/>
          <w:color w:val="333333"/>
          <w:sz w:val="32"/>
          <w:szCs w:val="32"/>
          <w:shd w:val="clear" w:color="auto" w:fill="FFFFFF"/>
          <w:lang w:val="en-US" w:eastAsia="zh-CN"/>
        </w:rPr>
        <w:t>一是加强组织领导</w:t>
      </w:r>
      <w:r>
        <w:rPr>
          <w:rFonts w:hint="eastAsia" w:ascii="仿宋_GB2312" w:hAnsi="宋体" w:eastAsia="仿宋_GB2312" w:cs="宋体"/>
          <w:color w:val="333333"/>
          <w:sz w:val="32"/>
          <w:szCs w:val="32"/>
          <w:shd w:val="clear" w:color="auto" w:fill="FFFFFF"/>
          <w:lang w:val="en-US" w:eastAsia="zh-CN"/>
        </w:rPr>
        <w:t>。我局高度重视政务公开工作，将此项工作列入重要议事日程，纳入局机关绩效考核范围。局主要领导给予工作指导，分管领导日常督促落实，各业务科室积极主动提供相关公开文件和资料，办公室扎实做好政府信息公开审核、发布工作。</w:t>
      </w:r>
      <w:r>
        <w:rPr>
          <w:rFonts w:hint="eastAsia" w:ascii="仿宋_GB2312" w:hAnsi="宋体" w:eastAsia="仿宋_GB2312" w:cs="宋体"/>
          <w:color w:val="333333"/>
          <w:sz w:val="32"/>
          <w:szCs w:val="32"/>
          <w:shd w:val="clear" w:color="auto" w:fill="FFFFFF"/>
          <w:lang w:val="en-US" w:eastAsia="zh-CN"/>
        </w:rPr>
        <w:br w:type="textWrapping"/>
      </w:r>
      <w:r>
        <w:rPr>
          <w:rFonts w:hint="eastAsia" w:ascii="仿宋_GB2312" w:hAnsi="宋体" w:eastAsia="仿宋_GB2312" w:cs="宋体"/>
          <w:color w:val="333333"/>
          <w:sz w:val="32"/>
          <w:szCs w:val="32"/>
          <w:shd w:val="clear" w:color="auto" w:fill="FFFFFF"/>
          <w:lang w:val="en-US" w:eastAsia="zh-CN"/>
        </w:rPr>
        <w:t>　　</w:t>
      </w:r>
      <w:r>
        <w:rPr>
          <w:rFonts w:hint="eastAsia" w:ascii="楷体_GB2312" w:hAnsi="楷体_GB2312" w:eastAsia="楷体_GB2312" w:cs="楷体_GB2312"/>
          <w:color w:val="333333"/>
          <w:sz w:val="32"/>
          <w:szCs w:val="32"/>
          <w:shd w:val="clear" w:color="auto" w:fill="FFFFFF"/>
          <w:lang w:val="en-US" w:eastAsia="zh-CN"/>
        </w:rPr>
        <w:t>二是积极推动主动公开</w:t>
      </w:r>
      <w:r>
        <w:rPr>
          <w:rFonts w:hint="eastAsia" w:ascii="仿宋_GB2312" w:hAnsi="宋体" w:eastAsia="仿宋_GB2312" w:cs="宋体"/>
          <w:color w:val="333333"/>
          <w:sz w:val="32"/>
          <w:szCs w:val="32"/>
          <w:shd w:val="clear" w:color="auto" w:fill="FFFFFF"/>
          <w:lang w:val="en-US" w:eastAsia="zh-CN"/>
        </w:rPr>
        <w:t>。坚持公开为常态、不公开为例外的原则，注重夯实基础突出重点，2019年以来，我局充分利用枣庄市文化和旅游局门户网站作为政府信息公开的主发布渠道，全年主动公开信息数量451条。通过枣庄市政府信息公开平台主动公开信息169条。积极通过政务微博、微信公众号等电子政务形式，向社会提供便捷、高效、广泛的公开服务，全年发布微博政务信息1114条、微信政务信息2314条。注重落实工作责任，安排专人负责登录政府信息公开系统，参加市政府组织的操作培训，做好日常操作使用，及时接收、发布、更新公开信息。</w:t>
      </w:r>
      <w:r>
        <w:rPr>
          <w:rFonts w:hint="eastAsia" w:ascii="仿宋_GB2312" w:hAnsi="宋体" w:eastAsia="仿宋_GB2312" w:cs="宋体"/>
          <w:color w:val="333333"/>
          <w:sz w:val="32"/>
          <w:szCs w:val="32"/>
          <w:shd w:val="clear" w:color="auto" w:fill="FFFFFF"/>
          <w:lang w:val="en-US" w:eastAsia="zh-CN"/>
        </w:rPr>
        <w:br w:type="textWrapping"/>
      </w:r>
      <w:r>
        <w:rPr>
          <w:rFonts w:hint="eastAsia" w:ascii="仿宋_GB2312" w:hAnsi="宋体" w:eastAsia="仿宋_GB2312" w:cs="宋体"/>
          <w:color w:val="333333"/>
          <w:sz w:val="32"/>
          <w:szCs w:val="32"/>
          <w:shd w:val="clear" w:color="auto" w:fill="FFFFFF"/>
          <w:lang w:val="en-US" w:eastAsia="zh-CN"/>
        </w:rPr>
        <w:t>　　</w:t>
      </w:r>
      <w:r>
        <w:rPr>
          <w:rFonts w:hint="eastAsia" w:ascii="楷体_GB2312" w:hAnsi="楷体_GB2312" w:eastAsia="楷体_GB2312" w:cs="楷体_GB2312"/>
          <w:color w:val="333333"/>
          <w:sz w:val="32"/>
          <w:szCs w:val="32"/>
          <w:shd w:val="clear" w:color="auto" w:fill="FFFFFF"/>
          <w:lang w:val="en-US" w:eastAsia="zh-CN"/>
        </w:rPr>
        <w:t>三是强化政府信息公开管理工作</w:t>
      </w:r>
      <w:r>
        <w:rPr>
          <w:rFonts w:hint="eastAsia" w:ascii="仿宋_GB2312" w:hAnsi="宋体" w:eastAsia="仿宋_GB2312" w:cs="宋体"/>
          <w:color w:val="333333"/>
          <w:sz w:val="32"/>
          <w:szCs w:val="32"/>
          <w:shd w:val="clear" w:color="auto" w:fill="FFFFFF"/>
          <w:lang w:val="en-US" w:eastAsia="zh-CN"/>
        </w:rPr>
        <w:t>。严格按照政府信息公开审批和发布流程，强化保密审查、法律审核机制，确保政府公开信息符合保密规定，避免出现法律纠纷。公开信息涉及业务工作的事项，及时对接业务科室，充分征求意见，研究分析公开信息是否对企业或者个人信息造成影响，统筹考虑公开信息的社会效益，据此确定政府信息公开内容和范围。同时，对依申请公开办理时限和各审批环节程序严格把关。2019 年度收到政府信息公开申请1件，在规定时间内已答复申请人。</w:t>
      </w:r>
      <w:bookmarkStart w:id="0" w:name="_GoBack"/>
      <w:bookmarkEnd w:id="0"/>
      <w:r>
        <w:rPr>
          <w:rFonts w:hint="eastAsia" w:ascii="仿宋_GB2312" w:hAnsi="宋体" w:eastAsia="仿宋_GB2312" w:cs="宋体"/>
          <w:color w:val="333333"/>
          <w:sz w:val="32"/>
          <w:szCs w:val="32"/>
          <w:shd w:val="clear" w:color="auto" w:fill="FFFFFF"/>
          <w:lang w:val="en-US" w:eastAsia="zh-CN"/>
        </w:rPr>
        <w:t>全面完成人大建议9件、政协提案29件的答复工作。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宋体" w:eastAsia="仿宋_GB2312" w:cs="宋体"/>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lang w:val="en-US" w:eastAsia="zh-CN"/>
        </w:rPr>
        <w:t>四是强化监督保障</w:t>
      </w:r>
      <w:r>
        <w:rPr>
          <w:rFonts w:hint="eastAsia" w:ascii="仿宋_GB2312" w:hAnsi="宋体" w:eastAsia="仿宋_GB2312" w:cs="宋体"/>
          <w:color w:val="333333"/>
          <w:sz w:val="32"/>
          <w:szCs w:val="32"/>
          <w:shd w:val="clear" w:color="auto" w:fill="FFFFFF"/>
          <w:lang w:val="en-US" w:eastAsia="zh-CN"/>
        </w:rPr>
        <w:t>。坚持把政府信息公开与日常业务工作相结合，作为重要督查事项并纳入全年绩效考核项目，作为科室评优的重要依据。</w:t>
      </w:r>
    </w:p>
    <w:p>
      <w:pPr>
        <w:pStyle w:val="4"/>
        <w:widowControl/>
        <w:shd w:val="clear" w:color="auto" w:fill="FFFFFF"/>
        <w:spacing w:beforeAutospacing="0" w:after="240" w:afterAutospacing="0"/>
        <w:ind w:firstLine="64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二、主动公开政府信息情况</w:t>
      </w:r>
    </w:p>
    <w:tbl>
      <w:tblPr>
        <w:tblStyle w:val="5"/>
        <w:tblW w:w="8708" w:type="dxa"/>
        <w:jc w:val="center"/>
        <w:shd w:val="clear" w:color="auto" w:fill="FFFFFF" w:themeFill="background1"/>
        <w:tblLayout w:type="fixed"/>
        <w:tblCellMar>
          <w:top w:w="0" w:type="dxa"/>
          <w:left w:w="0" w:type="dxa"/>
          <w:bottom w:w="0" w:type="dxa"/>
          <w:right w:w="0" w:type="dxa"/>
        </w:tblCellMar>
      </w:tblPr>
      <w:tblGrid>
        <w:gridCol w:w="3073"/>
        <w:gridCol w:w="17"/>
        <w:gridCol w:w="2095"/>
        <w:gridCol w:w="1505"/>
        <w:gridCol w:w="2018"/>
      </w:tblGrid>
      <w:tr>
        <w:tblPrEx>
          <w:shd w:val="clear" w:color="auto" w:fill="FFFFFF" w:themeFill="background1"/>
          <w:tblCellMar>
            <w:top w:w="0" w:type="dxa"/>
            <w:left w:w="0" w:type="dxa"/>
            <w:bottom w:w="0" w:type="dxa"/>
            <w:right w:w="0"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sz w:val="24"/>
              </w:rPr>
            </w:pPr>
            <w:r>
              <w:rPr>
                <w:rFonts w:hint="eastAsia" w:asciiTheme="minorEastAsia" w:hAnsiTheme="minorEastAsia" w:cstheme="minorEastAsia"/>
                <w:color w:val="000000"/>
                <w:kern w:val="0"/>
                <w:sz w:val="24"/>
              </w:rPr>
              <w:t>第二十条第（一）项</w:t>
            </w:r>
          </w:p>
        </w:tc>
      </w:tr>
      <w:tr>
        <w:tblPrEx>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本年新制作数量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本年新</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公开数量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eastAsia" w:asciiTheme="minorEastAsia" w:hAnsiTheme="minorEastAsia" w:cstheme="minorEastAsia"/>
                <w:color w:val="000000"/>
                <w:kern w:val="0"/>
                <w:sz w:val="24"/>
              </w:rPr>
            </w:pPr>
            <w:r>
              <w:rPr>
                <w:rFonts w:hint="eastAsia" w:asciiTheme="minorEastAsia" w:hAnsiTheme="minorEastAsia" w:cstheme="minorEastAsia"/>
                <w:color w:val="000000"/>
                <w:kern w:val="0"/>
                <w:sz w:val="24"/>
              </w:rPr>
              <w:t>对外公开</w:t>
            </w:r>
          </w:p>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总数量</w:t>
            </w:r>
          </w:p>
        </w:tc>
      </w:tr>
      <w:tr>
        <w:tblPrEx>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规章</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规范性文件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第二十条第（五）项</w:t>
            </w:r>
          </w:p>
        </w:tc>
      </w:tr>
      <w:tr>
        <w:tblPrEx>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处理决定数量</w:t>
            </w:r>
          </w:p>
        </w:tc>
      </w:tr>
      <w:tr>
        <w:tblPrEx>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行政许可</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10</w:t>
            </w:r>
            <w:r>
              <w:rPr>
                <w:rFonts w:hint="eastAsia" w:asciiTheme="minorEastAsia" w:hAnsiTheme="minorEastAsia" w:cstheme="minorEastAsia"/>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+11</w:t>
            </w:r>
            <w:r>
              <w:rPr>
                <w:rFonts w:hint="eastAsia" w:asciiTheme="minorEastAsia" w:hAnsiTheme="minorEastAsia" w:cstheme="minorEastAsia"/>
                <w:color w:val="000000"/>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p>
        </w:tc>
      </w:tr>
      <w:tr>
        <w:tblPrEx>
          <w:tblCellMar>
            <w:top w:w="0" w:type="dxa"/>
            <w:left w:w="0" w:type="dxa"/>
            <w:bottom w:w="0" w:type="dxa"/>
            <w:right w:w="0"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其他对外管理服务事项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39</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+66</w:t>
            </w:r>
            <w:r>
              <w:rPr>
                <w:rFonts w:hint="eastAsia" w:asciiTheme="minorEastAsia" w:hAnsiTheme="minorEastAsia" w:cstheme="minorEastAsia"/>
                <w:color w:val="000000"/>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p>
        </w:tc>
      </w:tr>
      <w:tr>
        <w:tblPrEx>
          <w:tblCellMar>
            <w:top w:w="0" w:type="dxa"/>
            <w:left w:w="0" w:type="dxa"/>
            <w:bottom w:w="0" w:type="dxa"/>
            <w:right w:w="0"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第二十条第（六）项</w:t>
            </w:r>
          </w:p>
        </w:tc>
      </w:tr>
      <w:tr>
        <w:tblPrEx>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处理决定数量</w:t>
            </w:r>
          </w:p>
        </w:tc>
      </w:tr>
      <w:tr>
        <w:tblPrEx>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行政处罚</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195</w:t>
            </w:r>
            <w:r>
              <w:rPr>
                <w:rFonts w:hint="eastAsia" w:asciiTheme="minorEastAsia" w:hAnsiTheme="minorEastAsia" w:cstheme="minorEastAsia"/>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15</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行政强制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7</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lang w:val="en-US" w:eastAsia="zh-CN"/>
              </w:rPr>
              <w:t>0</w:t>
            </w:r>
            <w:r>
              <w:rPr>
                <w:rFonts w:hint="eastAsia" w:asciiTheme="minorEastAsia" w:hAnsiTheme="minorEastAsia" w:cstheme="minorEastAsia"/>
                <w:color w:val="000000"/>
                <w:kern w:val="0"/>
                <w:sz w:val="24"/>
              </w:rPr>
              <w:t>　</w:t>
            </w:r>
          </w:p>
        </w:tc>
      </w:tr>
      <w:tr>
        <w:tblPrEx>
          <w:tblCellMar>
            <w:top w:w="0" w:type="dxa"/>
            <w:left w:w="0" w:type="dxa"/>
            <w:bottom w:w="0" w:type="dxa"/>
            <w:right w:w="0"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行政事业性收费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hint="eastAsia"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0</w:t>
            </w:r>
          </w:p>
        </w:tc>
      </w:tr>
      <w:tr>
        <w:tblPrEx>
          <w:tblCellMar>
            <w:top w:w="0" w:type="dxa"/>
            <w:left w:w="0" w:type="dxa"/>
            <w:bottom w:w="0" w:type="dxa"/>
            <w:right w:w="0"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第二十条第（九）项</w:t>
            </w:r>
          </w:p>
        </w:tc>
      </w:tr>
      <w:tr>
        <w:tblPrEx>
          <w:tblCellMar>
            <w:top w:w="0" w:type="dxa"/>
            <w:left w:w="0" w:type="dxa"/>
            <w:bottom w:w="0" w:type="dxa"/>
            <w:right w:w="0"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采购总金额</w:t>
            </w:r>
          </w:p>
        </w:tc>
      </w:tr>
      <w:tr>
        <w:tblPrEx>
          <w:tblCellMar>
            <w:top w:w="0" w:type="dxa"/>
            <w:left w:w="0" w:type="dxa"/>
            <w:bottom w:w="0" w:type="dxa"/>
            <w:right w:w="0"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政府集中采购</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rPr>
              <w:t>　</w:t>
            </w:r>
            <w:r>
              <w:rPr>
                <w:rFonts w:hint="eastAsia" w:asciiTheme="minorEastAsia" w:hAnsiTheme="minorEastAsia" w:cstheme="minorEastAsia"/>
                <w:color w:val="000000"/>
                <w:kern w:val="0"/>
                <w:sz w:val="24"/>
                <w:lang w:val="en-US" w:eastAsia="zh-CN"/>
              </w:rPr>
              <w:t>14</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jc w:val="center"/>
              <w:rPr>
                <w:rFonts w:hint="default" w:asciiTheme="minorEastAsia" w:hAnsiTheme="minorEastAsia" w:eastAsiaTheme="minorEastAsia" w:cstheme="minorEastAsia"/>
                <w:color w:val="000000"/>
                <w:kern w:val="0"/>
                <w:sz w:val="24"/>
                <w:lang w:val="en-US" w:eastAsia="zh-CN"/>
              </w:rPr>
            </w:pPr>
            <w:r>
              <w:rPr>
                <w:rFonts w:hint="eastAsia" w:asciiTheme="minorEastAsia" w:hAnsiTheme="minorEastAsia" w:cstheme="minorEastAsia"/>
                <w:color w:val="000000"/>
                <w:kern w:val="0"/>
                <w:sz w:val="24"/>
                <w:lang w:val="en-US" w:eastAsia="zh-CN"/>
              </w:rPr>
              <w:t>124.39万元</w:t>
            </w:r>
          </w:p>
        </w:tc>
      </w:tr>
    </w:tbl>
    <w:p>
      <w:pPr>
        <w:pStyle w:val="4"/>
        <w:widowControl/>
        <w:shd w:val="clear" w:color="auto" w:fill="FFFFFF"/>
        <w:spacing w:beforeAutospacing="0" w:afterAutospacing="0"/>
        <w:ind w:firstLine="420"/>
        <w:jc w:val="both"/>
        <w:rPr>
          <w:rFonts w:ascii="宋体" w:hAnsi="宋体" w:eastAsia="宋体" w:cs="宋体"/>
          <w:color w:val="333333"/>
        </w:rPr>
      </w:pPr>
    </w:p>
    <w:p>
      <w:pPr>
        <w:pStyle w:val="4"/>
        <w:widowControl/>
        <w:shd w:val="clear" w:color="auto" w:fill="FFFFFF"/>
        <w:spacing w:beforeAutospacing="0" w:after="240" w:afterAutospacing="0"/>
        <w:ind w:left="-199" w:leftChars="-95" w:firstLine="620"/>
        <w:jc w:val="both"/>
        <w:rPr>
          <w:rFonts w:ascii="黑体" w:hAnsi="黑体" w:eastAsia="黑体" w:cs="黑体"/>
          <w:color w:val="333333"/>
          <w:sz w:val="32"/>
          <w:szCs w:val="32"/>
        </w:rPr>
      </w:pPr>
      <w:r>
        <w:rPr>
          <w:rFonts w:hint="eastAsia" w:ascii="黑体" w:hAnsi="黑体" w:eastAsia="黑体" w:cs="黑体"/>
          <w:b/>
          <w:color w:val="333333"/>
          <w:sz w:val="32"/>
          <w:szCs w:val="32"/>
          <w:shd w:val="clear" w:color="auto"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（本列数据的勾稽关系为：第一项加第二项之和，</w:t>
            </w:r>
          </w:p>
          <w:p>
            <w:pPr>
              <w:widowControl/>
              <w:jc w:val="center"/>
            </w:pPr>
            <w:r>
              <w:rPr>
                <w:rFonts w:hint="eastAsia" w:ascii="宋体" w:hAnsi="宋体" w:eastAsia="宋体" w:cs="宋体"/>
                <w:kern w:val="0"/>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pPr>
            <w:r>
              <w:rPr>
                <w:rFonts w:hint="eastAsia" w:ascii="宋体" w:hAnsi="宋体" w:eastAsia="宋体" w:cs="宋体"/>
                <w:kern w:val="0"/>
                <w:sz w:val="20"/>
                <w:szCs w:val="20"/>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pPr>
            <w:r>
              <w:rPr>
                <w:rFonts w:hint="eastAsia" w:ascii="宋体" w:hAnsi="宋体" w:eastAsia="宋体" w:cs="宋体"/>
                <w:kern w:val="0"/>
                <w:sz w:val="20"/>
                <w:szCs w:val="20"/>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pPr>
            <w:r>
              <w:rPr>
                <w:rFonts w:hint="eastAsia" w:ascii="宋体" w:hAnsi="宋体" w:eastAsia="宋体" w:cs="宋体"/>
                <w:kern w:val="0"/>
                <w:sz w:val="20"/>
                <w:szCs w:val="20"/>
              </w:rPr>
              <w:t>科研机构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pPr>
            <w:r>
              <w:rPr>
                <w:rFonts w:hint="eastAsia" w:ascii="宋体" w:hAnsi="宋体" w:eastAsia="宋体" w:cs="宋体"/>
                <w:kern w:val="0"/>
                <w:sz w:val="20"/>
                <w:szCs w:val="20"/>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pPr>
            <w:r>
              <w:rPr>
                <w:rFonts w:hint="eastAsia" w:ascii="宋体" w:hAnsi="宋体" w:eastAsia="宋体" w:cs="宋体"/>
                <w:kern w:val="0"/>
                <w:sz w:val="20"/>
                <w:szCs w:val="20"/>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60" w:lineRule="exact"/>
              <w:ind w:left="-63" w:leftChars="-30" w:right="-134" w:rightChars="-64"/>
              <w:jc w:val="center"/>
            </w:pPr>
            <w:r>
              <w:rPr>
                <w:rFonts w:hint="eastAsia" w:ascii="宋体" w:hAnsi="宋体" w:eastAsia="宋体" w:cs="宋体"/>
                <w:kern w:val="0"/>
                <w:sz w:val="20"/>
                <w:szCs w:val="20"/>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pPr>
            <w:r>
              <w:rPr>
                <w:rFonts w:hint="eastAsia" w:ascii="宋体" w:hAnsi="宋体" w:eastAsia="宋体" w:cs="宋体"/>
                <w:kern w:val="0"/>
                <w:sz w:val="20"/>
                <w:szCs w:val="20"/>
              </w:rPr>
              <w:t>一、本年新收政府信息公开申请数量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1</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pPr>
            <w:r>
              <w:rPr>
                <w:rFonts w:hint="eastAsia" w:ascii="宋体" w:hAnsi="宋体" w:eastAsia="宋体" w:cs="宋体"/>
                <w:kern w:val="0"/>
                <w:sz w:val="20"/>
                <w:szCs w:val="20"/>
              </w:rPr>
              <w:t>二、上年结转政府信息公开申请数量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pPr>
            <w:r>
              <w:rPr>
                <w:rFonts w:hint="eastAsia" w:ascii="宋体" w:hAnsi="宋体" w:eastAsia="宋体" w:cs="宋体"/>
                <w:kern w:val="0"/>
                <w:sz w:val="20"/>
                <w:szCs w:val="20"/>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pPr>
            <w:r>
              <w:rPr>
                <w:rFonts w:ascii="楷体" w:hAnsi="楷体" w:eastAsia="楷体" w:cs="楷体"/>
                <w:kern w:val="0"/>
                <w:sz w:val="20"/>
                <w:szCs w:val="20"/>
              </w:rPr>
              <w:t>（一）予以公开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pPr>
            <w:r>
              <w:rPr>
                <w:rFonts w:hint="eastAsia" w:ascii="楷体" w:hAnsi="楷体" w:eastAsia="楷体" w:cs="楷体"/>
                <w:kern w:val="0"/>
                <w:sz w:val="20"/>
                <w:szCs w:val="20"/>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pPr>
            <w:r>
              <w:rPr>
                <w:rFonts w:hint="eastAsia" w:ascii="楷体" w:hAnsi="楷体" w:eastAsia="楷体" w:cs="楷体"/>
                <w:kern w:val="0"/>
                <w:sz w:val="20"/>
                <w:szCs w:val="20"/>
              </w:rPr>
              <w:t>（三）不予公开</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1.属于国家秘密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2.其他法律行政法规禁止公开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3.危及“三安全一稳定”</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4.保护第三方合法权益</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5.属于三类内部事务信息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6.属于四类过程性信息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7.属于行政执法案卷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8.属于行政查询事项</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pPr>
            <w:r>
              <w:rPr>
                <w:rFonts w:hint="eastAsia" w:ascii="楷体" w:hAnsi="楷体" w:eastAsia="楷体" w:cs="楷体"/>
                <w:kern w:val="0"/>
                <w:sz w:val="20"/>
                <w:szCs w:val="20"/>
              </w:rPr>
              <w:t>（四）无法提供</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1.本机关不掌握相关政府信息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2.没有现成信息需要另行制作</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3.补正后申请内容仍不明确</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pPr>
            <w:r>
              <w:rPr>
                <w:rFonts w:hint="eastAsia" w:ascii="楷体" w:hAnsi="楷体" w:eastAsia="楷体" w:cs="楷体"/>
                <w:kern w:val="0"/>
                <w:sz w:val="20"/>
                <w:szCs w:val="20"/>
              </w:rPr>
              <w:t>（五）不予处理</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1.信访举报投诉类申请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2.重复申请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pPr>
            <w:r>
              <w:rPr>
                <w:rFonts w:hint="eastAsia" w:ascii="楷体" w:hAnsi="楷体" w:eastAsia="楷体" w:cs="楷体"/>
                <w:kern w:val="0"/>
                <w:sz w:val="20"/>
                <w:szCs w:val="20"/>
              </w:rPr>
              <w:t>3.要求提供公开出版物</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pPr>
            <w:r>
              <w:rPr>
                <w:rFonts w:hint="eastAsia" w:ascii="楷体" w:hAnsi="楷体" w:eastAsia="楷体" w:cs="楷体"/>
                <w:kern w:val="0"/>
                <w:sz w:val="20"/>
                <w:szCs w:val="20"/>
              </w:rPr>
              <w:t>4.无正当理由大量反复申请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00" w:lineRule="exact"/>
              <w:rPr>
                <w:rFonts w:hint="eastAsia" w:ascii="楷体" w:hAnsi="楷体" w:eastAsia="楷体" w:cs="楷体"/>
                <w:kern w:val="0"/>
                <w:sz w:val="20"/>
                <w:szCs w:val="20"/>
              </w:rPr>
            </w:pPr>
            <w:r>
              <w:rPr>
                <w:rFonts w:hint="eastAsia" w:ascii="楷体" w:hAnsi="楷体" w:eastAsia="楷体" w:cs="楷体"/>
                <w:kern w:val="0"/>
                <w:sz w:val="20"/>
                <w:szCs w:val="20"/>
              </w:rPr>
              <w:t>5.要求行政机关确认或重新</w:t>
            </w:r>
          </w:p>
          <w:p>
            <w:pPr>
              <w:widowControl/>
              <w:spacing w:line="300" w:lineRule="exact"/>
              <w:ind w:firstLine="200" w:firstLineChars="100"/>
            </w:pPr>
            <w:r>
              <w:rPr>
                <w:rFonts w:hint="eastAsia" w:ascii="楷体" w:hAnsi="楷体" w:eastAsia="楷体" w:cs="楷体"/>
                <w:kern w:val="0"/>
                <w:sz w:val="20"/>
                <w:szCs w:val="20"/>
              </w:rPr>
              <w:t>出具已获取信息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pPr>
            <w:r>
              <w:rPr>
                <w:rFonts w:hint="eastAsia" w:ascii="楷体" w:hAnsi="楷体" w:eastAsia="楷体" w:cs="楷体"/>
                <w:kern w:val="0"/>
                <w:sz w:val="20"/>
                <w:szCs w:val="20"/>
              </w:rPr>
              <w:t>（六）其他处理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pPr>
            <w:r>
              <w:rPr>
                <w:rFonts w:hint="eastAsia" w:ascii="楷体" w:hAnsi="楷体" w:eastAsia="楷体" w:cs="楷体"/>
                <w:kern w:val="0"/>
                <w:sz w:val="20"/>
                <w:szCs w:val="20"/>
              </w:rPr>
              <w:t>（七）总计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eastAsia" w:eastAsiaTheme="minorEastAsia"/>
                <w:lang w:val="en-US" w:eastAsia="zh-CN"/>
              </w:rPr>
            </w:pPr>
            <w:r>
              <w:rPr>
                <w:rFonts w:hint="eastAsia"/>
                <w:lang w:val="en-US" w:eastAsia="zh-CN"/>
              </w:rPr>
              <w:t>1</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pPr>
            <w:r>
              <w:rPr>
                <w:rFonts w:hint="eastAsia" w:ascii="宋体" w:hAnsi="宋体" w:eastAsia="宋体" w:cs="宋体"/>
                <w:kern w:val="0"/>
                <w:sz w:val="20"/>
                <w:szCs w:val="20"/>
              </w:rPr>
              <w:t>四、结转下年度继续办理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lang w:val="en-US" w:eastAsia="zh-CN"/>
              </w:rPr>
            </w:pPr>
            <w:r>
              <w:rPr>
                <w:rFonts w:hint="eastAsia" w:ascii="宋体"/>
                <w:sz w:val="24"/>
                <w:lang w:val="en-US" w:eastAsia="zh-CN"/>
              </w:rPr>
              <w:t>0</w:t>
            </w:r>
          </w:p>
        </w:tc>
      </w:tr>
    </w:tbl>
    <w:p>
      <w:pPr>
        <w:pStyle w:val="4"/>
        <w:widowControl/>
        <w:shd w:val="clear" w:color="auto" w:fill="FFFFFF"/>
        <w:spacing w:beforeAutospacing="0" w:afterAutospacing="0"/>
        <w:ind w:firstLine="420"/>
        <w:jc w:val="both"/>
        <w:rPr>
          <w:rFonts w:ascii="宋体" w:hAnsi="宋体" w:eastAsia="宋体" w:cs="宋体"/>
          <w:color w:val="333333"/>
        </w:rPr>
      </w:pPr>
    </w:p>
    <w:p>
      <w:pPr>
        <w:pStyle w:val="4"/>
        <w:widowControl/>
        <w:numPr>
          <w:ilvl w:val="0"/>
          <w:numId w:val="0"/>
        </w:numPr>
        <w:shd w:val="clear" w:color="auto" w:fill="FFFFFF"/>
        <w:spacing w:beforeAutospacing="0" w:afterAutospacing="0"/>
        <w:ind w:firstLine="640" w:firstLineChars="200"/>
        <w:jc w:val="both"/>
        <w:rPr>
          <w:rFonts w:hint="eastAsia" w:ascii="黑体" w:hAnsi="黑体" w:eastAsia="黑体" w:cs="宋体"/>
          <w:color w:val="333333"/>
          <w:sz w:val="32"/>
          <w:szCs w:val="32"/>
          <w:shd w:val="clear" w:color="auto" w:fill="FFFFFF"/>
          <w:lang w:eastAsia="zh-CN"/>
        </w:rPr>
      </w:pPr>
      <w:r>
        <w:rPr>
          <w:rFonts w:hint="eastAsia" w:ascii="黑体" w:hAnsi="黑体" w:eastAsia="黑体" w:cs="宋体"/>
          <w:color w:val="333333"/>
          <w:sz w:val="32"/>
          <w:szCs w:val="32"/>
          <w:shd w:val="clear" w:color="auto" w:fill="FFFFFF"/>
          <w:lang w:eastAsia="zh-CN"/>
        </w:rPr>
        <w:t>四、政府信息公开行政复议、行政诉讼情况</w:t>
      </w:r>
    </w:p>
    <w:p>
      <w:pPr>
        <w:pStyle w:val="4"/>
        <w:widowControl/>
        <w:shd w:val="clear" w:color="auto" w:fill="FFFFFF"/>
        <w:spacing w:beforeAutospacing="0" w:afterAutospacing="0"/>
        <w:ind w:firstLine="420"/>
        <w:jc w:val="both"/>
        <w:rPr>
          <w:rFonts w:ascii="宋体" w:hAnsi="宋体" w:eastAsia="宋体" w:cs="宋体"/>
          <w:color w:val="333333"/>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hint="eastAsia" w:ascii="宋体" w:hAnsi="宋体" w:eastAsia="宋体" w:cs="宋体"/>
                <w:kern w:val="0"/>
                <w:sz w:val="20"/>
                <w:szCs w:val="20"/>
              </w:rPr>
            </w:pPr>
            <w:r>
              <w:rPr>
                <w:rFonts w:hint="eastAsia" w:ascii="宋体" w:hAnsi="宋体" w:eastAsia="宋体" w:cs="宋体"/>
                <w:kern w:val="0"/>
                <w:sz w:val="20"/>
                <w:szCs w:val="20"/>
              </w:rPr>
              <w:t>结果</w:t>
            </w:r>
          </w:p>
          <w:p>
            <w:pPr>
              <w:widowControl/>
              <w:ind w:left="-149" w:leftChars="-71" w:right="-170" w:rightChars="-81"/>
              <w:jc w:val="center"/>
            </w:pPr>
            <w:r>
              <w:rPr>
                <w:rFonts w:hint="eastAsia" w:ascii="宋体" w:hAnsi="宋体" w:eastAsia="宋体" w:cs="宋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hint="eastAsia" w:ascii="宋体" w:hAnsi="宋体" w:eastAsia="宋体" w:cs="宋体"/>
                <w:kern w:val="0"/>
                <w:sz w:val="20"/>
                <w:szCs w:val="20"/>
              </w:rPr>
            </w:pPr>
            <w:r>
              <w:rPr>
                <w:rFonts w:hint="eastAsia" w:ascii="宋体" w:hAnsi="宋体" w:eastAsia="宋体" w:cs="宋体"/>
                <w:kern w:val="0"/>
                <w:sz w:val="20"/>
                <w:szCs w:val="20"/>
              </w:rPr>
              <w:t>尚未</w:t>
            </w:r>
          </w:p>
          <w:p>
            <w:pPr>
              <w:widowControl/>
              <w:ind w:left="-118" w:leftChars="-56" w:right="-118" w:rightChars="-56"/>
              <w:jc w:val="center"/>
            </w:pPr>
            <w:r>
              <w:rPr>
                <w:rFonts w:hint="eastAsia" w:ascii="宋体" w:hAnsi="宋体" w:eastAsia="宋体" w:cs="宋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总</w:t>
            </w:r>
          </w:p>
          <w:p>
            <w:pPr>
              <w:widowControl/>
              <w:spacing w:line="320" w:lineRule="exact"/>
              <w:jc w:val="center"/>
            </w:pPr>
            <w:r>
              <w:rPr>
                <w:rFonts w:hint="eastAsia" w:ascii="宋体" w:hAnsi="宋体" w:eastAsia="宋体" w:cs="宋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hint="eastAsia" w:ascii="宋体" w:hAnsi="宋体" w:eastAsia="宋体" w:cs="宋体"/>
                <w:kern w:val="0"/>
                <w:sz w:val="20"/>
                <w:szCs w:val="20"/>
              </w:rPr>
            </w:pPr>
            <w:r>
              <w:rPr>
                <w:rFonts w:hint="eastAsia" w:ascii="宋体" w:hAnsi="宋体" w:eastAsia="宋体" w:cs="宋体"/>
                <w:kern w:val="0"/>
                <w:sz w:val="20"/>
                <w:szCs w:val="20"/>
              </w:rPr>
              <w:t>其他</w:t>
            </w:r>
          </w:p>
          <w:p>
            <w:pPr>
              <w:widowControl/>
              <w:ind w:left="-126" w:leftChars="-60" w:right="-136" w:rightChars="-65"/>
              <w:jc w:val="center"/>
            </w:pPr>
            <w:r>
              <w:rPr>
                <w:rFonts w:hint="eastAsia" w:ascii="宋体" w:hAnsi="宋体" w:eastAsia="宋体" w:cs="宋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hint="eastAsia" w:ascii="宋体" w:hAnsi="宋体" w:eastAsia="宋体" w:cs="宋体"/>
                <w:kern w:val="0"/>
                <w:sz w:val="20"/>
                <w:szCs w:val="20"/>
              </w:rPr>
            </w:pPr>
            <w:r>
              <w:rPr>
                <w:rFonts w:hint="eastAsia" w:ascii="宋体" w:hAnsi="宋体" w:eastAsia="宋体" w:cs="宋体"/>
                <w:kern w:val="0"/>
                <w:sz w:val="20"/>
                <w:szCs w:val="20"/>
              </w:rPr>
              <w:t>尚未</w:t>
            </w:r>
          </w:p>
          <w:p>
            <w:pPr>
              <w:widowControl/>
              <w:ind w:left="-164" w:leftChars="-78" w:right="-153" w:rightChars="-73"/>
              <w:jc w:val="center"/>
            </w:pPr>
            <w:r>
              <w:rPr>
                <w:rFonts w:hint="eastAsia" w:ascii="宋体" w:hAnsi="宋体" w:eastAsia="宋体" w:cs="宋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hint="eastAsia" w:ascii="宋体" w:hAnsi="宋体" w:eastAsia="宋体" w:cs="宋体"/>
                <w:kern w:val="0"/>
                <w:sz w:val="20"/>
                <w:szCs w:val="20"/>
              </w:rPr>
            </w:pPr>
            <w:r>
              <w:rPr>
                <w:rFonts w:hint="eastAsia" w:ascii="宋体" w:hAnsi="宋体" w:eastAsia="宋体" w:cs="宋体"/>
                <w:kern w:val="0"/>
                <w:sz w:val="20"/>
                <w:szCs w:val="20"/>
              </w:rPr>
              <w:t>结果</w:t>
            </w:r>
          </w:p>
          <w:p>
            <w:pPr>
              <w:widowControl/>
              <w:ind w:left="-136" w:leftChars="-65" w:right="-124" w:rightChars="-59"/>
              <w:jc w:val="center"/>
            </w:pPr>
            <w:r>
              <w:rPr>
                <w:rFonts w:hint="eastAsia" w:ascii="宋体" w:hAnsi="宋体" w:eastAsia="宋体" w:cs="宋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w:t>
            </w:r>
          </w:p>
          <w:p>
            <w:pPr>
              <w:widowControl/>
              <w:ind w:left="-173" w:leftChars="-83" w:right="-134" w:rightChars="-64" w:hanging="1"/>
              <w:jc w:val="center"/>
            </w:pPr>
            <w:r>
              <w:rPr>
                <w:rFonts w:hint="eastAsia" w:ascii="宋体" w:hAnsi="宋体" w:eastAsia="宋体" w:cs="宋体"/>
                <w:color w:val="000000"/>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ascii="Calibri" w:hAnsi="Calibri" w:cs="Calibri"/>
                <w:kern w:val="0"/>
                <w:sz w:val="20"/>
                <w:szCs w:val="20"/>
              </w:rPr>
              <w:t> </w:t>
            </w: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ascii="Calibri" w:hAnsi="Calibri" w:cs="Calibri"/>
                <w:kern w:val="0"/>
                <w:sz w:val="20"/>
                <w:szCs w:val="20"/>
              </w:rPr>
              <w:t> </w:t>
            </w: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ascii="Calibri" w:hAnsi="Calibri" w:cs="Calibri"/>
                <w:kern w:val="0"/>
                <w:sz w:val="20"/>
                <w:szCs w:val="20"/>
              </w:rPr>
              <w:t> </w:t>
            </w:r>
            <w:r>
              <w:rPr>
                <w:rFonts w:hint="eastAsia" w:ascii="Calibri" w:hAnsi="Calibri" w:cs="Calibri"/>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Theme="minorEastAsia"/>
                <w:lang w:val="en-US" w:eastAsia="zh-CN"/>
              </w:rPr>
            </w:pPr>
            <w:r>
              <w:rPr>
                <w:rFonts w:ascii="Calibri" w:hAnsi="Calibri" w:cs="Calibri"/>
                <w:kern w:val="0"/>
                <w:sz w:val="20"/>
                <w:szCs w:val="20"/>
              </w:rPr>
              <w:t> </w:t>
            </w:r>
            <w:r>
              <w:rPr>
                <w:rFonts w:hint="eastAsia" w:ascii="Calibri" w:hAnsi="Calibri" w:cs="Calibri"/>
                <w:kern w:val="0"/>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eastAsiaTheme="minorEastAsia"/>
                <w:lang w:val="en-US" w:eastAsia="zh-CN"/>
              </w:rPr>
            </w:pPr>
            <w:r>
              <w:rPr>
                <w:rFonts w:ascii="Calibri" w:hAnsi="Calibri" w:cs="Calibri"/>
                <w:kern w:val="0"/>
                <w:sz w:val="20"/>
                <w:szCs w:val="20"/>
              </w:rPr>
              <w:t> </w:t>
            </w:r>
            <w:r>
              <w:rPr>
                <w:rFonts w:hint="eastAsia" w:ascii="Calibri" w:hAnsi="Calibri" w:cs="Calibri"/>
                <w:kern w:val="0"/>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eastAsia="宋体"/>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lang w:val="en-US" w:eastAsia="zh-CN"/>
              </w:rPr>
            </w:pPr>
            <w:r>
              <w:rPr>
                <w:rFonts w:hint="eastAsia" w:ascii="宋体"/>
                <w:sz w:val="24"/>
                <w:lang w:val="en-US" w:eastAsia="zh-CN"/>
              </w:rPr>
              <w:t>0</w:t>
            </w:r>
          </w:p>
        </w:tc>
      </w:tr>
    </w:tbl>
    <w:p>
      <w:pPr>
        <w:pStyle w:val="4"/>
        <w:widowControl/>
        <w:numPr>
          <w:ilvl w:val="0"/>
          <w:numId w:val="0"/>
        </w:numPr>
        <w:shd w:val="clear" w:color="auto" w:fill="FFFFFF"/>
        <w:spacing w:beforeAutospacing="0" w:afterAutospacing="0"/>
        <w:ind w:firstLine="640" w:firstLineChars="200"/>
        <w:jc w:val="both"/>
        <w:rPr>
          <w:rFonts w:hint="eastAsia" w:ascii="黑体" w:hAnsi="黑体" w:eastAsia="黑体" w:cs="宋体"/>
          <w:color w:val="333333"/>
          <w:sz w:val="32"/>
          <w:szCs w:val="32"/>
          <w:shd w:val="clear" w:color="auto" w:fill="FFFFFF"/>
          <w:lang w:eastAsia="zh-CN"/>
        </w:rPr>
      </w:pPr>
      <w:r>
        <w:rPr>
          <w:rFonts w:hint="eastAsia" w:ascii="黑体" w:hAnsi="黑体" w:eastAsia="黑体" w:cs="宋体"/>
          <w:color w:val="333333"/>
          <w:sz w:val="32"/>
          <w:szCs w:val="32"/>
          <w:shd w:val="clear" w:color="auto" w:fill="FFFFFF"/>
          <w:lang w:eastAsia="zh-CN"/>
        </w:rPr>
        <w:t>五、存在的主要问题及改进情况</w:t>
      </w:r>
    </w:p>
    <w:p>
      <w:pPr>
        <w:pStyle w:val="4"/>
        <w:widowControl/>
        <w:numPr>
          <w:ilvl w:val="0"/>
          <w:numId w:val="0"/>
        </w:numPr>
        <w:shd w:val="clear" w:color="auto" w:fill="FFFFFF"/>
        <w:spacing w:beforeAutospacing="0" w:afterAutospacing="0"/>
        <w:ind w:firstLine="640" w:firstLineChars="200"/>
        <w:jc w:val="both"/>
        <w:rPr>
          <w:rFonts w:hint="eastAsia" w:ascii="仿宋_GB2312" w:hAnsi="宋体" w:eastAsia="仿宋_GB2312" w:cs="宋体"/>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存在的问题</w:t>
      </w:r>
      <w:r>
        <w:rPr>
          <w:rFonts w:hint="eastAsia" w:ascii="仿宋_GB2312" w:hAnsi="宋体" w:eastAsia="仿宋_GB2312" w:cs="宋体"/>
          <w:color w:val="333333"/>
          <w:sz w:val="32"/>
          <w:szCs w:val="32"/>
          <w:shd w:val="clear" w:color="auto" w:fill="FFFFFF"/>
          <w:lang w:val="en-US" w:eastAsia="zh-CN"/>
        </w:rPr>
        <w:t>：一是存在公开内容不健全、不规范等问题。二是个别信息不能及时上网公开，时效性不强。三是体现我市文化、旅游特色的板块内容更新还很不够，有待进一步加强。</w:t>
      </w:r>
    </w:p>
    <w:p>
      <w:pPr>
        <w:pStyle w:val="4"/>
        <w:widowControl/>
        <w:numPr>
          <w:ilvl w:val="0"/>
          <w:numId w:val="0"/>
        </w:numPr>
        <w:shd w:val="clear" w:color="auto" w:fill="FFFFFF"/>
        <w:spacing w:beforeAutospacing="0" w:afterAutospacing="0"/>
        <w:ind w:firstLine="640" w:firstLineChars="200"/>
        <w:jc w:val="both"/>
        <w:rPr>
          <w:rFonts w:hint="eastAsia" w:ascii="仿宋_GB2312" w:hAnsi="宋体" w:eastAsia="仿宋_GB2312" w:cs="宋体"/>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改进措施</w:t>
      </w:r>
      <w:r>
        <w:rPr>
          <w:rFonts w:hint="eastAsia" w:ascii="仿宋_GB2312" w:hAnsi="宋体" w:eastAsia="仿宋_GB2312" w:cs="宋体"/>
          <w:color w:val="333333"/>
          <w:sz w:val="32"/>
          <w:szCs w:val="32"/>
          <w:shd w:val="clear" w:color="auto" w:fill="FFFFFF"/>
          <w:lang w:val="en-US" w:eastAsia="zh-CN"/>
        </w:rPr>
        <w:t>：一是不断创新工作方式方法，突出重点，注重实效，加强对信息公开工作人员的业务培训，增强工作人员政务公开意识，提高政府信息采集、编辑能力，努力提高政府信息公开水平。二是进一步建立健全工作机制，层层落实责任，认真做好信息公开的日常维护工作，在规定时限内更新发生变化、变更的信息，确保信息公开的及时性、准确性和有效性。三是积极做好文化、旅游特色板块内容的更新，更好地服务民生。</w:t>
      </w:r>
    </w:p>
    <w:p>
      <w:pPr>
        <w:pStyle w:val="4"/>
        <w:widowControl/>
        <w:numPr>
          <w:ilvl w:val="0"/>
          <w:numId w:val="0"/>
        </w:numPr>
        <w:shd w:val="clear" w:color="auto" w:fill="FFFFFF"/>
        <w:spacing w:beforeAutospacing="0" w:afterAutospacing="0"/>
        <w:ind w:firstLine="640" w:firstLineChars="200"/>
        <w:jc w:val="both"/>
        <w:rPr>
          <w:rFonts w:hint="eastAsia" w:ascii="黑体" w:hAnsi="黑体" w:eastAsia="黑体" w:cs="宋体"/>
          <w:color w:val="333333"/>
          <w:sz w:val="32"/>
          <w:szCs w:val="32"/>
          <w:shd w:val="clear" w:color="auto" w:fill="FFFFFF"/>
        </w:rPr>
      </w:pPr>
      <w:r>
        <w:rPr>
          <w:rFonts w:hint="eastAsia" w:ascii="黑体" w:hAnsi="黑体" w:eastAsia="黑体" w:cs="宋体"/>
          <w:color w:val="333333"/>
          <w:sz w:val="32"/>
          <w:szCs w:val="32"/>
          <w:shd w:val="clear" w:color="auto" w:fill="FFFFFF"/>
          <w:lang w:eastAsia="zh-CN"/>
        </w:rPr>
        <w:t>六、</w:t>
      </w:r>
      <w:r>
        <w:rPr>
          <w:rFonts w:hint="eastAsia" w:ascii="黑体" w:hAnsi="黑体" w:eastAsia="黑体" w:cs="宋体"/>
          <w:color w:val="333333"/>
          <w:sz w:val="32"/>
          <w:szCs w:val="32"/>
          <w:shd w:val="clear" w:color="auto" w:fill="FFFFFF"/>
        </w:rPr>
        <w:t>其他需要报告的事项</w:t>
      </w:r>
    </w:p>
    <w:p>
      <w:pPr>
        <w:pStyle w:val="4"/>
        <w:widowControl/>
        <w:numPr>
          <w:ilvl w:val="0"/>
          <w:numId w:val="0"/>
        </w:numPr>
        <w:shd w:val="clear" w:color="auto" w:fill="FFFFFF"/>
        <w:spacing w:beforeAutospacing="0" w:afterAutospacing="0"/>
        <w:ind w:firstLine="640" w:firstLineChars="200"/>
        <w:jc w:val="both"/>
        <w:rPr>
          <w:rFonts w:hint="eastAsia" w:ascii="仿宋_GB2312" w:hAnsi="宋体" w:eastAsia="仿宋_GB2312" w:cs="宋体"/>
          <w:color w:val="333333"/>
          <w:sz w:val="32"/>
          <w:szCs w:val="32"/>
          <w:shd w:val="clear" w:color="auto" w:fill="FFFFFF"/>
          <w:lang w:eastAsia="zh-CN"/>
        </w:rPr>
      </w:pPr>
      <w:r>
        <w:rPr>
          <w:rFonts w:hint="eastAsia" w:ascii="仿宋_GB2312" w:hAnsi="宋体" w:eastAsia="仿宋_GB2312" w:cs="宋体"/>
          <w:color w:val="333333"/>
          <w:sz w:val="32"/>
          <w:szCs w:val="32"/>
          <w:shd w:val="clear" w:color="auto" w:fill="FFFFFF"/>
          <w:lang w:eastAsia="zh-CN"/>
        </w:rPr>
        <w:t>无其他需要报告的事项。</w:t>
      </w:r>
    </w:p>
    <w:p>
      <w:pPr>
        <w:pStyle w:val="4"/>
        <w:widowControl/>
        <w:numPr>
          <w:ilvl w:val="0"/>
          <w:numId w:val="0"/>
        </w:numPr>
        <w:shd w:val="clear" w:color="auto" w:fill="FFFFFF"/>
        <w:spacing w:beforeAutospacing="0" w:afterAutospacing="0"/>
        <w:ind w:firstLine="640" w:firstLineChars="200"/>
        <w:jc w:val="both"/>
        <w:rPr>
          <w:rFonts w:hint="eastAsia" w:ascii="仿宋_GB2312" w:hAnsi="宋体" w:eastAsia="仿宋_GB2312" w:cs="宋体"/>
          <w:color w:val="333333"/>
          <w:sz w:val="32"/>
          <w:szCs w:val="32"/>
          <w:shd w:val="clear" w:color="auto" w:fill="FFFFFF"/>
          <w:lang w:eastAsia="zh-CN"/>
        </w:rPr>
      </w:pPr>
    </w:p>
    <w:p>
      <w:pPr>
        <w:pStyle w:val="4"/>
        <w:widowControl/>
        <w:numPr>
          <w:ilvl w:val="0"/>
          <w:numId w:val="0"/>
        </w:numPr>
        <w:shd w:val="clear" w:color="auto" w:fill="FFFFFF"/>
        <w:spacing w:beforeAutospacing="0" w:afterAutospacing="0"/>
        <w:ind w:firstLine="640" w:firstLineChars="200"/>
        <w:jc w:val="both"/>
        <w:rPr>
          <w:rFonts w:hint="eastAsia" w:ascii="仿宋_GB2312" w:hAnsi="宋体" w:eastAsia="仿宋_GB2312" w:cs="宋体"/>
          <w:color w:val="333333"/>
          <w:sz w:val="32"/>
          <w:szCs w:val="32"/>
          <w:shd w:val="clear" w:color="auto" w:fill="FFFFFF"/>
          <w:lang w:eastAsia="zh-CN"/>
        </w:rPr>
      </w:pPr>
    </w:p>
    <w:p>
      <w:pPr>
        <w:pStyle w:val="4"/>
        <w:widowControl/>
        <w:numPr>
          <w:ilvl w:val="0"/>
          <w:numId w:val="0"/>
        </w:numPr>
        <w:shd w:val="clear" w:color="auto" w:fill="FFFFFF"/>
        <w:spacing w:beforeAutospacing="0" w:afterAutospacing="0"/>
        <w:ind w:firstLine="640" w:firstLineChars="200"/>
        <w:jc w:val="right"/>
        <w:rPr>
          <w:rFonts w:hint="eastAsia" w:ascii="仿宋_GB2312" w:hAnsi="宋体" w:eastAsia="仿宋_GB2312" w:cs="宋体"/>
          <w:color w:val="333333"/>
          <w:sz w:val="32"/>
          <w:szCs w:val="32"/>
          <w:shd w:val="clear" w:color="auto" w:fill="FFFFFF"/>
          <w:lang w:eastAsia="zh-CN"/>
        </w:rPr>
      </w:pPr>
      <w:r>
        <w:rPr>
          <w:rFonts w:hint="eastAsia" w:ascii="仿宋_GB2312" w:hAnsi="宋体" w:eastAsia="仿宋_GB2312" w:cs="宋体"/>
          <w:color w:val="333333"/>
          <w:sz w:val="32"/>
          <w:szCs w:val="32"/>
          <w:shd w:val="clear" w:color="auto" w:fill="FFFFFF"/>
          <w:lang w:eastAsia="zh-CN"/>
        </w:rPr>
        <w:t>枣庄市文化和旅游局</w:t>
      </w:r>
    </w:p>
    <w:p>
      <w:pPr>
        <w:pStyle w:val="4"/>
        <w:widowControl/>
        <w:numPr>
          <w:ilvl w:val="0"/>
          <w:numId w:val="0"/>
        </w:numPr>
        <w:shd w:val="clear" w:color="auto" w:fill="FFFFFF"/>
        <w:spacing w:beforeAutospacing="0" w:afterAutospacing="0"/>
        <w:ind w:firstLine="640" w:firstLineChars="200"/>
        <w:jc w:val="right"/>
        <w:rPr>
          <w:rFonts w:hint="default"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2020年1月20日</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727FC5"/>
    <w:rsid w:val="07787F16"/>
    <w:rsid w:val="0ECC0943"/>
    <w:rsid w:val="102C3B94"/>
    <w:rsid w:val="18F41B25"/>
    <w:rsid w:val="1927197B"/>
    <w:rsid w:val="19E50429"/>
    <w:rsid w:val="20835811"/>
    <w:rsid w:val="242A3A4E"/>
    <w:rsid w:val="2ADD2642"/>
    <w:rsid w:val="2B7B32E6"/>
    <w:rsid w:val="2B8205DC"/>
    <w:rsid w:val="2FE37B2D"/>
    <w:rsid w:val="31C15EFC"/>
    <w:rsid w:val="33EE346D"/>
    <w:rsid w:val="35290CFC"/>
    <w:rsid w:val="3B4A67C2"/>
    <w:rsid w:val="4689056A"/>
    <w:rsid w:val="46ED3888"/>
    <w:rsid w:val="47802B97"/>
    <w:rsid w:val="4F99154D"/>
    <w:rsid w:val="5B9757A1"/>
    <w:rsid w:val="5C1121D6"/>
    <w:rsid w:val="5D3C614A"/>
    <w:rsid w:val="628A65B3"/>
    <w:rsid w:val="69B73869"/>
    <w:rsid w:val="6BE161DC"/>
    <w:rsid w:val="6F4074A5"/>
    <w:rsid w:val="70897927"/>
    <w:rsid w:val="751B2581"/>
    <w:rsid w:val="7535299B"/>
    <w:rsid w:val="76F54CBA"/>
    <w:rsid w:val="773F0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1"/>
      <w:szCs w:val="21"/>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color w:val="000000"/>
      <w:u w:val="none"/>
    </w:rPr>
  </w:style>
  <w:style w:type="character" w:styleId="8">
    <w:name w:val="Emphasis"/>
    <w:basedOn w:val="6"/>
    <w:qFormat/>
    <w:uiPriority w:val="0"/>
  </w:style>
  <w:style w:type="character" w:styleId="9">
    <w:name w:val="Hyperlink"/>
    <w:basedOn w:val="6"/>
    <w:qFormat/>
    <w:uiPriority w:val="0"/>
    <w:rPr>
      <w:color w:val="000000"/>
      <w:u w:val="none"/>
    </w:rPr>
  </w:style>
  <w:style w:type="character" w:customStyle="1" w:styleId="10">
    <w:name w:val="first-child"/>
    <w:basedOn w:val="6"/>
    <w:qFormat/>
    <w:uiPriority w:val="0"/>
  </w:style>
  <w:style w:type="character" w:customStyle="1" w:styleId="11">
    <w:name w:val="r-search"/>
    <w:basedOn w:val="6"/>
    <w:qFormat/>
    <w:uiPriority w:val="0"/>
  </w:style>
  <w:style w:type="character" w:customStyle="1" w:styleId="12">
    <w:name w:val="r-search1"/>
    <w:basedOn w:val="6"/>
    <w:qFormat/>
    <w:uiPriority w:val="0"/>
  </w:style>
  <w:style w:type="character" w:customStyle="1" w:styleId="13">
    <w:name w:val="ewm"/>
    <w:basedOn w:val="6"/>
    <w:qFormat/>
    <w:uiPriority w:val="0"/>
  </w:style>
  <w:style w:type="character" w:customStyle="1" w:styleId="14">
    <w:name w:val="z-crt3"/>
    <w:basedOn w:val="6"/>
    <w:qFormat/>
    <w:uiPriority w:val="0"/>
    <w:rPr>
      <w:color w:val="FFFFFF"/>
      <w:bdr w:val="single" w:color="5295E6" w:sz="6" w:space="0"/>
      <w:shd w:val="clear" w:fill="5295E6"/>
    </w:rPr>
  </w:style>
  <w:style w:type="character" w:customStyle="1" w:styleId="15">
    <w:name w:val="z-crt4"/>
    <w:basedOn w:val="6"/>
    <w:qFormat/>
    <w:uiPriority w:val="0"/>
    <w:rPr>
      <w:color w:val="FFFFFF"/>
      <w:bdr w:val="single" w:color="5294E5" w:sz="6" w:space="0"/>
      <w:shd w:val="clear" w:fill="5294E5"/>
    </w:rPr>
  </w:style>
  <w:style w:type="character" w:customStyle="1" w:styleId="16">
    <w:name w:val="hover34"/>
    <w:basedOn w:val="6"/>
    <w:qFormat/>
    <w:uiPriority w:val="0"/>
    <w:rPr>
      <w:color w:val="FFFFFF"/>
      <w:bdr w:val="single" w:color="5294E5" w:sz="6" w:space="0"/>
      <w:shd w:val="clear" w:fill="5294E5"/>
    </w:rPr>
  </w:style>
  <w:style w:type="character" w:customStyle="1" w:styleId="17">
    <w:name w:val="z-crt1"/>
    <w:basedOn w:val="6"/>
    <w:qFormat/>
    <w:uiPriority w:val="0"/>
    <w:rPr>
      <w:color w:val="FFFFFF"/>
      <w:bdr w:val="single" w:color="5295E6" w:sz="6" w:space="0"/>
      <w:shd w:val="clear" w:fill="5295E6"/>
    </w:rPr>
  </w:style>
  <w:style w:type="character" w:customStyle="1" w:styleId="18">
    <w:name w:val="z-crt2"/>
    <w:basedOn w:val="6"/>
    <w:qFormat/>
    <w:uiPriority w:val="0"/>
    <w:rPr>
      <w:color w:val="FFFFFF"/>
      <w:bdr w:val="single" w:color="5294E5" w:sz="6" w:space="0"/>
      <w:shd w:val="clear" w:fill="5294E5"/>
    </w:rPr>
  </w:style>
  <w:style w:type="character" w:customStyle="1" w:styleId="19">
    <w:name w:val="hover"/>
    <w:basedOn w:val="6"/>
    <w:qFormat/>
    <w:uiPriority w:val="0"/>
    <w:rPr>
      <w:color w:val="FFFFFF"/>
      <w:bdr w:val="single" w:color="5294E5" w:sz="6" w:space="0"/>
      <w:shd w:val="clear" w:fill="5294E5"/>
    </w:rPr>
  </w:style>
  <w:style w:type="character" w:customStyle="1" w:styleId="20">
    <w:name w:val="z-crt"/>
    <w:basedOn w:val="6"/>
    <w:qFormat/>
    <w:uiPriority w:val="0"/>
    <w:rPr>
      <w:color w:val="FFFFFF"/>
      <w:bdr w:val="single" w:color="5294E5" w:sz="6" w:space="0"/>
      <w:shd w:val="clear" w:fill="5294E5"/>
    </w:rPr>
  </w:style>
  <w:style w:type="character" w:customStyle="1" w:styleId="21">
    <w:name w:val="first-child2"/>
    <w:basedOn w:val="6"/>
    <w:qFormat/>
    <w:uiPriority w:val="0"/>
  </w:style>
  <w:style w:type="character" w:customStyle="1" w:styleId="22">
    <w:name w:val="first-child1"/>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2020-01-20T01:33:00Z</dcterms:created>
  <dc:creator>Administrator</dc:creator>
  <cp:lastModifiedBy>Administrator</cp:lastModifiedBy>
  <cp:lastPrinted>2020-01-20T08:14:00Z</cp:lastPrinted>
  <dcterms:modified xsi:type="dcterms:W3CDTF">2020-07-21T01:35:31Z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