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both"/>
        <w:rPr>
          <w:rFonts w:hint="eastAsia" w:ascii="楷体_GB2312" w:hAnsi="楷体_GB2312" w:eastAsia="楷体_GB2312" w:cs="楷体_GB2312"/>
          <w:color w:val="FF0000"/>
          <w:w w:val="80"/>
          <w:sz w:val="84"/>
          <w:szCs w:val="84"/>
        </w:rPr>
      </w:pPr>
      <w:r>
        <w:rPr>
          <w:rFonts w:hint="eastAsia" w:ascii="楷体_GB2312" w:hAnsi="楷体_GB2312" w:eastAsia="楷体_GB2312" w:cs="楷体_GB2312"/>
          <w:color w:val="FF0000"/>
          <w:spacing w:val="-21"/>
          <w:sz w:val="84"/>
          <w:szCs w:val="84"/>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876300</wp:posOffset>
                </wp:positionV>
                <wp:extent cx="5229225" cy="0"/>
                <wp:effectExtent l="0" t="13970" r="9525" b="24130"/>
                <wp:wrapNone/>
                <wp:docPr id="1" name="直接箭头连接符 1"/>
                <wp:cNvGraphicFramePr/>
                <a:graphic xmlns:a="http://schemas.openxmlformats.org/drawingml/2006/main">
                  <a:graphicData uri="http://schemas.microsoft.com/office/word/2010/wordprocessingShape">
                    <wps:wsp>
                      <wps:cNvCnPr/>
                      <wps:spPr>
                        <a:xfrm>
                          <a:off x="0" y="0"/>
                          <a:ext cx="5229225" cy="0"/>
                        </a:xfrm>
                        <a:prstGeom prst="straightConnector1">
                          <a:avLst/>
                        </a:prstGeom>
                        <a:ln w="28575"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25pt;margin-top:69pt;height:0pt;width:411.75pt;z-index:251658240;mso-width-relative:page;mso-height-relative:page;" filled="f" stroked="t" coordsize="21600,21600" o:gfxdata="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TiyzD0wAAAAkBAAAP&#10;AAAAAAAAAAEAIAAAACIAAABkcnMvZG93bnJldi54bWxQSwECFAAUAAAACACHTuJA5JYEhuQBAACf&#10;AwAADgAAAAAAAAABACAAAAAiAQAAZHJzL2Uyb0RvYy54bWxQSwUGAAAAAAYABgBZAQAAeAUAAAAA&#10;">
                <v:fill on="f" focussize="0,0"/>
                <v:stroke weight="2.25pt" color="#FF0000" joinstyle="round"/>
                <v:imagedata o:title=""/>
                <o:lock v:ext="edit" aspectratio="f"/>
              </v:shape>
            </w:pict>
          </mc:Fallback>
        </mc:AlternateContent>
      </w:r>
      <w:r>
        <w:rPr>
          <w:rFonts w:hint="eastAsia" w:ascii="楷体_GB2312" w:hAnsi="楷体_GB2312" w:eastAsia="楷体_GB2312" w:cs="楷体_GB2312"/>
          <w:color w:val="FF0000"/>
          <w:spacing w:val="-21"/>
          <w:w w:val="80"/>
          <w:sz w:val="84"/>
          <w:szCs w:val="84"/>
          <w:lang w:eastAsia="zh-CN"/>
        </w:rPr>
        <w:t>中共</w:t>
      </w:r>
      <w:r>
        <w:rPr>
          <w:rFonts w:hint="eastAsia" w:ascii="楷体_GB2312" w:hAnsi="楷体_GB2312" w:eastAsia="楷体_GB2312" w:cs="楷体_GB2312"/>
          <w:color w:val="FF0000"/>
          <w:spacing w:val="-21"/>
          <w:w w:val="80"/>
          <w:sz w:val="84"/>
          <w:szCs w:val="84"/>
        </w:rPr>
        <w:t>枣庄市文化</w:t>
      </w:r>
      <w:r>
        <w:rPr>
          <w:rFonts w:hint="eastAsia" w:ascii="楷体_GB2312" w:hAnsi="楷体_GB2312" w:eastAsia="楷体_GB2312" w:cs="楷体_GB2312"/>
          <w:color w:val="FF0000"/>
          <w:spacing w:val="-21"/>
          <w:w w:val="80"/>
          <w:sz w:val="84"/>
          <w:szCs w:val="84"/>
          <w:lang w:eastAsia="zh-CN"/>
        </w:rPr>
        <w:t>和旅游</w:t>
      </w:r>
      <w:r>
        <w:rPr>
          <w:rFonts w:hint="eastAsia" w:ascii="楷体_GB2312" w:hAnsi="楷体_GB2312" w:eastAsia="楷体_GB2312" w:cs="楷体_GB2312"/>
          <w:color w:val="FF0000"/>
          <w:spacing w:val="-21"/>
          <w:w w:val="80"/>
          <w:sz w:val="84"/>
          <w:szCs w:val="84"/>
        </w:rPr>
        <w:t>局</w:t>
      </w:r>
      <w:r>
        <w:rPr>
          <w:rFonts w:hint="eastAsia" w:ascii="楷体_GB2312" w:hAnsi="楷体_GB2312" w:eastAsia="楷体_GB2312" w:cs="楷体_GB2312"/>
          <w:color w:val="FF0000"/>
          <w:spacing w:val="-21"/>
          <w:w w:val="80"/>
          <w:sz w:val="84"/>
          <w:szCs w:val="84"/>
          <w:lang w:eastAsia="zh-CN"/>
        </w:rPr>
        <w:t>党组</w:t>
      </w:r>
    </w:p>
    <w:p/>
    <w:p>
      <w:pPr>
        <w:jc w:val="center"/>
        <w:rPr>
          <w:rFonts w:hint="eastAsia"/>
          <w:sz w:val="44"/>
          <w:szCs w:val="44"/>
          <w:lang w:eastAsia="zh-CN"/>
        </w:rPr>
      </w:pPr>
    </w:p>
    <w:p>
      <w:pPr>
        <w:ind w:firstLine="1320" w:firstLineChars="300"/>
        <w:jc w:val="both"/>
        <w:rPr>
          <w:rFonts w:hint="eastAsia"/>
          <w:sz w:val="44"/>
          <w:szCs w:val="44"/>
          <w:lang w:eastAsia="zh-CN"/>
        </w:rPr>
      </w:pPr>
      <w:r>
        <w:rPr>
          <w:rFonts w:hint="eastAsia"/>
          <w:sz w:val="44"/>
          <w:szCs w:val="44"/>
          <w:lang w:eastAsia="zh-CN"/>
        </w:rPr>
        <w:t>中共枣庄市文化和旅游局党组</w:t>
      </w:r>
    </w:p>
    <w:p>
      <w:pPr>
        <w:jc w:val="center"/>
        <w:rPr>
          <w:rFonts w:hint="eastAsia"/>
          <w:sz w:val="44"/>
          <w:szCs w:val="44"/>
          <w:lang w:eastAsia="zh-CN"/>
        </w:rPr>
      </w:pPr>
      <w:r>
        <w:rPr>
          <w:rFonts w:hint="eastAsia"/>
          <w:sz w:val="44"/>
          <w:szCs w:val="44"/>
          <w:lang w:eastAsia="zh-CN"/>
        </w:rPr>
        <w:t>全面从严治党和党风廉政建设工作要点</w:t>
      </w:r>
    </w:p>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2020年4月14日 局党组会议讨论通过</w:t>
      </w:r>
      <w:r>
        <w:rPr>
          <w:rFonts w:hint="eastAsia" w:ascii="仿宋_GB2312" w:hAnsi="仿宋_GB2312" w:eastAsia="仿宋_GB2312" w:cs="仿宋_GB2312"/>
          <w:sz w:val="28"/>
          <w:szCs w:val="28"/>
          <w:lang w:eastAsia="zh-CN"/>
        </w:rPr>
        <w:t>）</w:t>
      </w:r>
    </w:p>
    <w:p>
      <w:pPr>
        <w:ind w:firstLine="640" w:firstLineChars="200"/>
        <w:jc w:val="both"/>
        <w:rPr>
          <w:rFonts w:hint="eastAsia" w:ascii="仿宋_GB2312" w:hAnsi="仿宋_GB2312" w:eastAsia="仿宋_GB2312" w:cs="仿宋_GB2312"/>
          <w:sz w:val="32"/>
          <w:szCs w:val="32"/>
          <w:lang w:val="en-US" w:eastAsia="zh-CN"/>
        </w:rPr>
      </w:pPr>
    </w:p>
    <w:p>
      <w:pPr>
        <w:ind w:firstLine="640" w:firstLineChars="200"/>
        <w:jc w:val="both"/>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为深入贯彻落实习近平总书记关于新时期党的建设总要求，进一步推进中办《党委（党组）落实全面从严治党主体责任规定》精神及省、市委、纪委关于全面从严治党加强党风廉政建设工作部署在我局落地做实，营造风清气正的良好政治生态，促进我市文旅工作创新发展，制定局党组全面从严治党和党风廉政建设工作要点如下。</w:t>
      </w:r>
    </w:p>
    <w:p>
      <w:pPr>
        <w:numPr>
          <w:ilvl w:val="0"/>
          <w:numId w:val="1"/>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强化理论武装</w:t>
      </w:r>
    </w:p>
    <w:p>
      <w:pPr>
        <w:numPr>
          <w:ilvl w:val="0"/>
          <w:numId w:val="0"/>
        </w:numPr>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1.坚持用习近平新时代中国特色社会主义思想武装头脑、统领行动。</w:t>
      </w:r>
      <w:r>
        <w:rPr>
          <w:rFonts w:hint="eastAsia" w:ascii="仿宋_GB2312" w:hAnsi="仿宋_GB2312" w:eastAsia="仿宋_GB2312" w:cs="仿宋_GB2312"/>
          <w:sz w:val="32"/>
          <w:szCs w:val="32"/>
          <w:lang w:val="en-US" w:eastAsia="zh-CN"/>
        </w:rPr>
        <w:t>局各级党组织和党员干部始终把学习贯彻习近平新时代中国特色社会主义思想和党的十九大、十九届二中、三中、四中全会精神作为首要政治任务，完善学习制度，制定学习计划，及时跟进学、全面系统学、持续深入学，努力在学通、弄懂、做实上下功夫。发挥局党组理论学习中心组示范引领作用，压实基层党组织“三会一课”“主题党日活动”主题，采取“集体学习+交流研讨”形式，开展专题交流研讨；充分运用“学习强国”“灯塔-党建在线”等学习平台的在线学习，切实推动习近平新时代中国特色社会主义思想、党的十九大精神及中央、省、市重大战略决策部署在文化和旅游系统落地生根，指导我市文化和旅游工作创新高质量发展。</w:t>
      </w:r>
    </w:p>
    <w:p>
      <w:pPr>
        <w:numPr>
          <w:ilvl w:val="0"/>
          <w:numId w:val="0"/>
        </w:numPr>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2.巩固拓展主题教育成果。</w:t>
      </w:r>
      <w:r>
        <w:rPr>
          <w:rFonts w:hint="eastAsia" w:ascii="仿宋_GB2312" w:hAnsi="仿宋_GB2312" w:eastAsia="仿宋_GB2312" w:cs="仿宋_GB2312"/>
          <w:sz w:val="32"/>
          <w:szCs w:val="32"/>
          <w:lang w:val="en-US" w:eastAsia="zh-CN"/>
        </w:rPr>
        <w:t>局各级党组织始终把不忘初心、牢记使命作为加强党的建设的永恒课题和党员、干部的终身课题常抓不懈。认真学习贯彻习近平总书记在“不忘初心、牢记使命”主题教育总结大会上的讲话精神，教育引导各级党组织和党员干部经常进行思想政治体检，同党中央要求“对标”，拿党章党规“扫描”，用人民群众新期待“透视”，同先辈先烈、先进典型“对照”，不断叩问初心、守护初心，不断坚守使命、担当使命。持续抓好局主题教育各项整改任务落实，深化专项整治，整体推动问题解决。引导局系统党员干部勇于担当作为，以钉钉子精神抓好工作落实。</w:t>
      </w:r>
    </w:p>
    <w:p>
      <w:pPr>
        <w:numPr>
          <w:ilvl w:val="0"/>
          <w:numId w:val="0"/>
        </w:numPr>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3.加强意识形态工作。</w:t>
      </w:r>
      <w:r>
        <w:rPr>
          <w:rFonts w:hint="eastAsia" w:ascii="仿宋_GB2312" w:hAnsi="仿宋_GB2312" w:eastAsia="仿宋_GB2312" w:cs="仿宋_GB2312"/>
          <w:sz w:val="32"/>
          <w:szCs w:val="32"/>
          <w:lang w:val="en-US" w:eastAsia="zh-CN"/>
        </w:rPr>
        <w:t>局党组认真学习贯彻习近平总书记关于“建设具有强大凝聚力和引领力的社会主义意识形态”“用社会主义核心价值观凝心聚力”等重要论述，全面贯彻落实《中国共产党宣传工作条例》和中央、省、市委宣传工作会议精神，扎实做好局党组意识形态工作责任制的落实，按照职责分工守好管好“责任田”，守好管好文化旅游阵地。</w:t>
      </w:r>
      <w:r>
        <w:rPr>
          <w:rFonts w:hint="eastAsia" w:ascii="仿宋_GB2312" w:hAnsi="仿宋_GB2312" w:eastAsia="仿宋_GB2312" w:cs="仿宋_GB2312"/>
          <w:sz w:val="32"/>
          <w:szCs w:val="32"/>
        </w:rPr>
        <w:t>依托现代公共文化服务体系，加强主流意识形态的宣传教育，用</w:t>
      </w:r>
      <w:r>
        <w:rPr>
          <w:rFonts w:hint="eastAsia" w:ascii="仿宋_GB2312" w:hAnsi="仿宋_GB2312" w:eastAsia="仿宋_GB2312" w:cs="仿宋_GB2312"/>
          <w:sz w:val="32"/>
          <w:szCs w:val="32"/>
          <w:lang w:eastAsia="zh-CN"/>
        </w:rPr>
        <w:t>社会主义</w:t>
      </w:r>
      <w:r>
        <w:rPr>
          <w:rFonts w:hint="eastAsia" w:ascii="仿宋_GB2312" w:hAnsi="仿宋_GB2312" w:eastAsia="仿宋_GB2312" w:cs="仿宋_GB2312"/>
          <w:sz w:val="32"/>
          <w:szCs w:val="32"/>
        </w:rPr>
        <w:t>先进文化占领</w:t>
      </w:r>
      <w:r>
        <w:rPr>
          <w:rFonts w:hint="eastAsia" w:ascii="仿宋_GB2312" w:hAnsi="仿宋_GB2312" w:eastAsia="仿宋_GB2312" w:cs="仿宋_GB2312"/>
          <w:sz w:val="32"/>
          <w:szCs w:val="32"/>
          <w:lang w:eastAsia="zh-CN"/>
        </w:rPr>
        <w:t>我市</w:t>
      </w:r>
      <w:r>
        <w:rPr>
          <w:rFonts w:hint="eastAsia" w:ascii="仿宋_GB2312" w:hAnsi="仿宋_GB2312" w:eastAsia="仿宋_GB2312" w:cs="仿宋_GB2312"/>
          <w:sz w:val="32"/>
          <w:szCs w:val="32"/>
        </w:rPr>
        <w:t>文化</w:t>
      </w:r>
      <w:r>
        <w:rPr>
          <w:rFonts w:hint="eastAsia" w:ascii="仿宋_GB2312" w:hAnsi="仿宋_GB2312" w:eastAsia="仿宋_GB2312" w:cs="仿宋_GB2312"/>
          <w:sz w:val="32"/>
          <w:szCs w:val="32"/>
          <w:lang w:eastAsia="zh-CN"/>
        </w:rPr>
        <w:t>旅游</w:t>
      </w:r>
      <w:r>
        <w:rPr>
          <w:rFonts w:hint="eastAsia" w:ascii="仿宋_GB2312" w:hAnsi="仿宋_GB2312" w:eastAsia="仿宋_GB2312" w:cs="仿宋_GB2312"/>
          <w:sz w:val="32"/>
          <w:szCs w:val="32"/>
        </w:rPr>
        <w:t>阵地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教育引导局党员干部自觉抵制社会上一些不良信息和言论，以实际行动践行“两个维护”。</w:t>
      </w:r>
    </w:p>
    <w:p>
      <w:pPr>
        <w:numPr>
          <w:ilvl w:val="0"/>
          <w:numId w:val="0"/>
        </w:numPr>
        <w:ind w:firstLine="643" w:firstLineChars="200"/>
        <w:jc w:val="both"/>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二、压实主体责任</w:t>
      </w:r>
    </w:p>
    <w:p>
      <w:pPr>
        <w:numPr>
          <w:ilvl w:val="0"/>
          <w:numId w:val="0"/>
        </w:numPr>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局</w:t>
      </w:r>
      <w:r>
        <w:rPr>
          <w:rFonts w:hint="default" w:ascii="仿宋_GB2312" w:hAnsi="仿宋_GB2312" w:eastAsia="仿宋_GB2312" w:cs="仿宋_GB2312"/>
          <w:sz w:val="32"/>
          <w:szCs w:val="32"/>
          <w:lang w:val="en-US" w:eastAsia="zh-CN"/>
        </w:rPr>
        <w:t>党组</w:t>
      </w:r>
      <w:r>
        <w:rPr>
          <w:rFonts w:hint="eastAsia" w:ascii="仿宋_GB2312" w:hAnsi="仿宋_GB2312" w:eastAsia="仿宋_GB2312" w:cs="仿宋_GB2312"/>
          <w:sz w:val="32"/>
          <w:szCs w:val="32"/>
          <w:lang w:val="en-US" w:eastAsia="zh-CN"/>
        </w:rPr>
        <w:t>全面贯彻落实中央办公厅印发的《党委（党组）落实全面从严治党责任规定》，</w:t>
      </w:r>
      <w:r>
        <w:rPr>
          <w:rFonts w:hint="default" w:ascii="仿宋_GB2312" w:hAnsi="仿宋_GB2312" w:eastAsia="仿宋_GB2312" w:cs="仿宋_GB2312"/>
          <w:sz w:val="32"/>
          <w:szCs w:val="32"/>
          <w:lang w:val="en-US" w:eastAsia="zh-CN"/>
        </w:rPr>
        <w:t>坚持党建工作与业务工作同谋划、同部署、同推进、同考核，加强对</w:t>
      </w:r>
      <w:r>
        <w:rPr>
          <w:rFonts w:hint="eastAsia" w:ascii="仿宋_GB2312" w:hAnsi="仿宋_GB2312" w:eastAsia="仿宋_GB2312" w:cs="仿宋_GB2312"/>
          <w:sz w:val="32"/>
          <w:szCs w:val="32"/>
          <w:lang w:val="en-US" w:eastAsia="zh-CN"/>
        </w:rPr>
        <w:t>文旅</w:t>
      </w:r>
      <w:r>
        <w:rPr>
          <w:rFonts w:hint="default" w:ascii="仿宋_GB2312" w:hAnsi="仿宋_GB2312" w:eastAsia="仿宋_GB2312" w:cs="仿宋_GB2312"/>
          <w:sz w:val="32"/>
          <w:szCs w:val="32"/>
          <w:lang w:val="en-US" w:eastAsia="zh-CN"/>
        </w:rPr>
        <w:t>系统全面从严治党各项工作的领导。</w:t>
      </w:r>
    </w:p>
    <w:p>
      <w:pPr>
        <w:numPr>
          <w:ilvl w:val="0"/>
          <w:numId w:val="0"/>
        </w:numPr>
        <w:ind w:firstLine="643" w:firstLineChars="2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1.局党组。</w:t>
      </w:r>
      <w:r>
        <w:rPr>
          <w:rFonts w:hint="eastAsia" w:ascii="仿宋_GB2312" w:hAnsi="仿宋_GB2312" w:eastAsia="仿宋_GB2312" w:cs="仿宋_GB2312"/>
          <w:sz w:val="32"/>
          <w:szCs w:val="32"/>
          <w:lang w:val="en-US" w:eastAsia="zh-CN"/>
        </w:rPr>
        <w:t>每半年至少召开一次党组会议，专题研究全面从严治党工作，分析研判形势，研究解决瓶颈和短板，提出加强和改进的措施。</w:t>
      </w:r>
    </w:p>
    <w:p>
      <w:pPr>
        <w:numPr>
          <w:ilvl w:val="0"/>
          <w:numId w:val="0"/>
        </w:numPr>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2.局党组书记。</w:t>
      </w:r>
      <w:r>
        <w:rPr>
          <w:rFonts w:hint="eastAsia" w:ascii="仿宋_GB2312" w:hAnsi="仿宋_GB2312" w:eastAsia="仿宋_GB2312" w:cs="仿宋_GB2312"/>
          <w:sz w:val="32"/>
          <w:szCs w:val="32"/>
          <w:lang w:val="en-US" w:eastAsia="zh-CN"/>
        </w:rPr>
        <w:t>履行全面从严治党第一责任人职责，做到重要工作亲自部署、重大问题亲自过问、重点环节亲自协调、重要案件亲自督办；管好班子、带好队伍、抓好落实，支持、指导和督促领导班子其他成员、局属各基层党组织书记履行全面从严治党责任，发现问题及时提醒纠正。</w:t>
      </w:r>
    </w:p>
    <w:p>
      <w:pPr>
        <w:numPr>
          <w:ilvl w:val="0"/>
          <w:numId w:val="0"/>
        </w:numPr>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3.局党组领导班子成员。</w:t>
      </w:r>
      <w:r>
        <w:rPr>
          <w:rFonts w:hint="eastAsia" w:ascii="仿宋_GB2312" w:hAnsi="仿宋_GB2312" w:eastAsia="仿宋_GB2312" w:cs="仿宋_GB2312"/>
          <w:sz w:val="32"/>
          <w:szCs w:val="32"/>
          <w:lang w:val="en-US" w:eastAsia="zh-CN"/>
        </w:rPr>
        <w:t>根据工作分工对职责范围内的全面从严治党工作承担重要领导责任，按照“一岗双责”要求，领导、检查、督促分管部门和单位全面从严治党工作，对分管部门和单位党员干部从严进行教育管理监督。</w:t>
      </w:r>
    </w:p>
    <w:p>
      <w:pPr>
        <w:numPr>
          <w:ilvl w:val="0"/>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三、深入开展正风肃纪行动</w:t>
      </w:r>
    </w:p>
    <w:p>
      <w:pPr>
        <w:numPr>
          <w:ilvl w:val="0"/>
          <w:numId w:val="0"/>
        </w:numPr>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1.持续开展党风廉政建设“十个一”活动。</w:t>
      </w:r>
      <w:r>
        <w:rPr>
          <w:rFonts w:hint="eastAsia" w:ascii="仿宋_GB2312" w:hAnsi="仿宋_GB2312" w:eastAsia="仿宋_GB2312" w:cs="仿宋_GB2312"/>
          <w:sz w:val="32"/>
          <w:szCs w:val="32"/>
          <w:lang w:val="en-US" w:eastAsia="zh-CN"/>
        </w:rPr>
        <w:t>组织局属各基层党组织和党员干部认真学习党章、党规，严格执行《准则》《条例》。召开局党风廉政建设工作会议、签订党风廉政建设目标责任书，开展廉政谈话，充分发挥局党组全面监督、局属基层党组织日常监督、机关纪委专责监督和党员民主监督作用。坚持教育为先，上好廉政党课，开展系列警示教育、纪律教育、政德教育和家风家教教育。深入开展调研、开展明查暗访，加强对重大节假日党风廉政建设风险点的管控，推动风险防控常态化、制度化。</w:t>
      </w:r>
    </w:p>
    <w:p>
      <w:pPr>
        <w:numPr>
          <w:ilvl w:val="0"/>
          <w:numId w:val="0"/>
        </w:numPr>
        <w:ind w:firstLine="643" w:firstLineChars="200"/>
        <w:jc w:val="both"/>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2.深化干部作风突出问题集中整治行动成果。</w:t>
      </w:r>
      <w:r>
        <w:rPr>
          <w:rFonts w:hint="eastAsia" w:ascii="仿宋_GB2312" w:hAnsi="仿宋_GB2312" w:eastAsia="仿宋_GB2312" w:cs="仿宋_GB2312"/>
          <w:b w:val="0"/>
          <w:bCs w:val="0"/>
          <w:sz w:val="32"/>
          <w:szCs w:val="32"/>
          <w:lang w:val="en-US" w:eastAsia="zh-CN"/>
        </w:rPr>
        <w:t>落实中央八项规定及其实施细则精神，巩固并深化形式主义、官僚主义整治成果，聚焦“5个方面20项”突出问题，持续开展干部作风集中整治，推动各级党组织管党治党的责任意识更加自觉，党员干部带头崇廉倡廉促廉、规范行使权力。持之以恒做好巡视、巡察反馈问题整改落实，推动文旅各项工作提质增效。</w:t>
      </w:r>
    </w:p>
    <w:p>
      <w:pPr>
        <w:numPr>
          <w:ilvl w:val="0"/>
          <w:numId w:val="0"/>
        </w:numPr>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3.精准运用监督执纪“四种形态”。</w:t>
      </w:r>
      <w:r>
        <w:rPr>
          <w:rFonts w:hint="eastAsia" w:ascii="仿宋_GB2312" w:hAnsi="仿宋_GB2312" w:eastAsia="仿宋_GB2312" w:cs="仿宋_GB2312"/>
          <w:sz w:val="32"/>
          <w:szCs w:val="32"/>
          <w:lang w:val="en-US" w:eastAsia="zh-CN"/>
        </w:rPr>
        <w:t>坚持纪在法前，精准运用监督执纪“四种形态”，严格落实市委《关于贯彻落实&lt;党委（党组）运用监督执纪“第一种形态”工作细则（试行）&gt;的意见》精神，精准把握本《细则》中11种具体运用情形，不断加大对局系统党员干部产生的轻微问题和苗头性问题的处置力度，把问题解决在萌芽状态，使党员干部时时处处感受到纪律的严格约束和经常性的警示提醒，为打造一支忠诚、干净、担当的干部队伍保驾护航。</w:t>
      </w:r>
    </w:p>
    <w:p>
      <w:pPr>
        <w:numPr>
          <w:ilvl w:val="0"/>
          <w:numId w:val="0"/>
        </w:numPr>
        <w:ind w:firstLine="643"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4.扎实开展党内问责工作。</w:t>
      </w:r>
      <w:r>
        <w:rPr>
          <w:rFonts w:hint="eastAsia" w:ascii="仿宋_GB2312" w:hAnsi="仿宋_GB2312" w:eastAsia="仿宋_GB2312" w:cs="仿宋_GB2312"/>
          <w:b w:val="0"/>
          <w:bCs w:val="0"/>
          <w:sz w:val="32"/>
          <w:szCs w:val="32"/>
          <w:lang w:val="en-US" w:eastAsia="zh-CN"/>
        </w:rPr>
        <w:t>在局党组理论中心组学习和主题党日学习中进一步开展《中国共产党问责条例》的学习，认真研读，深刻领会《条例》内容；研究制定《局党组问责工作制度》，开展问责情形排查。</w:t>
      </w:r>
    </w:p>
    <w:p>
      <w:pPr>
        <w:numPr>
          <w:ilvl w:val="0"/>
          <w:numId w:val="0"/>
        </w:numPr>
        <w:ind w:firstLine="643" w:firstLineChars="200"/>
        <w:jc w:val="both"/>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四、打造过硬的党务干部队伍</w:t>
      </w:r>
    </w:p>
    <w:p>
      <w:pPr>
        <w:numPr>
          <w:ilvl w:val="0"/>
          <w:numId w:val="0"/>
        </w:numPr>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1.选优配强党务工作干部。</w:t>
      </w:r>
      <w:r>
        <w:rPr>
          <w:rFonts w:hint="eastAsia" w:ascii="仿宋_GB2312" w:hAnsi="仿宋_GB2312" w:eastAsia="仿宋_GB2312" w:cs="仿宋_GB2312"/>
          <w:sz w:val="32"/>
          <w:szCs w:val="32"/>
          <w:lang w:val="en-US" w:eastAsia="zh-CN"/>
        </w:rPr>
        <w:t>对任届期满的基层党组织，按期进行换届选举工作，同步配齐配强支部班子成员，真正把政治强、业务精、作风好的同志安排到党务工作岗位。树立“党务工作既成就事业又成就人才”的鲜明导向，注重选用年轻干部，把党务工作岗位作为培养锻炼干部的重要平台。</w:t>
      </w:r>
    </w:p>
    <w:p>
      <w:pPr>
        <w:numPr>
          <w:ilvl w:val="0"/>
          <w:numId w:val="0"/>
        </w:numPr>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2.加强党务工作培训。</w:t>
      </w:r>
      <w:r>
        <w:rPr>
          <w:rFonts w:hint="eastAsia" w:ascii="仿宋_GB2312" w:hAnsi="仿宋_GB2312" w:eastAsia="仿宋_GB2312" w:cs="仿宋_GB2312"/>
          <w:sz w:val="32"/>
          <w:szCs w:val="32"/>
          <w:lang w:val="en-US" w:eastAsia="zh-CN"/>
        </w:rPr>
        <w:t>局党组有计划组织局系统党务工作者参加“党支部书记培训班”“基层党务工作培训班”等，认真学习党建理论，学习党务工作新知识、新方法，不断提升党务工作者的能力和水平，内强素质、外树形象，争做“政治上的明白人，党建工作的内行人，干部职工的贴心人”。</w:t>
      </w:r>
    </w:p>
    <w:p>
      <w:pPr>
        <w:numPr>
          <w:ilvl w:val="0"/>
          <w:numId w:val="0"/>
        </w:numPr>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3.扎实推进党支部标准化、规范化建设。</w:t>
      </w:r>
      <w:r>
        <w:rPr>
          <w:rFonts w:hint="eastAsia" w:ascii="仿宋_GB2312" w:hAnsi="仿宋_GB2312" w:eastAsia="仿宋_GB2312" w:cs="仿宋_GB2312"/>
          <w:sz w:val="32"/>
          <w:szCs w:val="32"/>
          <w:lang w:val="en-US" w:eastAsia="zh-CN"/>
        </w:rPr>
        <w:t>根据党章、《中国共产党支部工作条例（试行）》《中国共产党党员教育管理工作条例》等党内法规规定，认真落实市直机关工委关于推进党支部标准化建设的实施意见，对党支部书记的“头雁指数”和党支部的“堡垒指数”进行量化积分考核。重点破解基层党组织在党建工作中“不会抓、抓不实”的问题，不断提升局系统党建工作质量，推动全局党建工作全面提升、全面进步、全面过硬。</w:t>
      </w:r>
    </w:p>
    <w:p>
      <w:pPr>
        <w:numPr>
          <w:ilvl w:val="0"/>
          <w:numId w:val="0"/>
        </w:numPr>
        <w:ind w:firstLine="2880" w:firstLineChars="900"/>
        <w:jc w:val="both"/>
        <w:rPr>
          <w:rFonts w:hint="eastAsia" w:ascii="仿宋_GB2312" w:hAnsi="仿宋_GB2312" w:eastAsia="仿宋_GB2312" w:cs="仿宋_GB2312"/>
          <w:sz w:val="32"/>
          <w:szCs w:val="32"/>
          <w:lang w:val="en-US" w:eastAsia="zh-CN"/>
        </w:rPr>
      </w:pPr>
    </w:p>
    <w:p>
      <w:pPr>
        <w:numPr>
          <w:ilvl w:val="0"/>
          <w:numId w:val="0"/>
        </w:numPr>
        <w:ind w:firstLine="2880" w:firstLineChars="900"/>
        <w:jc w:val="both"/>
        <w:rPr>
          <w:rFonts w:hint="eastAsia" w:ascii="仿宋_GB2312" w:hAnsi="仿宋_GB2312" w:eastAsia="仿宋_GB2312" w:cs="仿宋_GB2312"/>
          <w:sz w:val="32"/>
          <w:szCs w:val="32"/>
          <w:lang w:val="en-US" w:eastAsia="zh-CN"/>
        </w:rPr>
      </w:pPr>
    </w:p>
    <w:p>
      <w:pPr>
        <w:numPr>
          <w:ilvl w:val="0"/>
          <w:numId w:val="0"/>
        </w:numPr>
        <w:ind w:firstLine="2880" w:firstLineChars="900"/>
        <w:jc w:val="both"/>
        <w:rPr>
          <w:rFonts w:hint="eastAsia" w:ascii="仿宋_GB2312" w:hAnsi="仿宋_GB2312" w:eastAsia="仿宋_GB2312" w:cs="仿宋_GB2312"/>
          <w:sz w:val="32"/>
          <w:szCs w:val="32"/>
          <w:lang w:val="en-US" w:eastAsia="zh-CN"/>
        </w:rPr>
      </w:pPr>
    </w:p>
    <w:p>
      <w:pPr>
        <w:numPr>
          <w:ilvl w:val="0"/>
          <w:numId w:val="0"/>
        </w:numPr>
        <w:ind w:firstLine="2880" w:firstLineChars="900"/>
        <w:jc w:val="both"/>
        <w:rPr>
          <w:rFonts w:hint="eastAsia" w:ascii="仿宋_GB2312" w:hAnsi="仿宋_GB2312" w:eastAsia="仿宋_GB2312" w:cs="仿宋_GB2312"/>
          <w:sz w:val="32"/>
          <w:szCs w:val="32"/>
          <w:lang w:val="en-US" w:eastAsia="zh-CN"/>
        </w:rPr>
      </w:pPr>
    </w:p>
    <w:p>
      <w:pPr>
        <w:numPr>
          <w:ilvl w:val="0"/>
          <w:numId w:val="0"/>
        </w:numPr>
        <w:ind w:firstLine="2880" w:firstLineChars="900"/>
        <w:jc w:val="both"/>
        <w:rPr>
          <w:rFonts w:hint="eastAsia" w:ascii="仿宋_GB2312" w:hAnsi="仿宋_GB2312" w:eastAsia="仿宋_GB2312" w:cs="仿宋_GB2312"/>
          <w:sz w:val="32"/>
          <w:szCs w:val="32"/>
          <w:lang w:val="en-US" w:eastAsia="zh-CN"/>
        </w:rPr>
      </w:pPr>
    </w:p>
    <w:p>
      <w:pPr>
        <w:numPr>
          <w:ilvl w:val="0"/>
          <w:numId w:val="0"/>
        </w:numPr>
        <w:ind w:firstLine="2880" w:firstLineChars="900"/>
        <w:jc w:val="both"/>
        <w:rPr>
          <w:rFonts w:hint="eastAsia" w:ascii="仿宋_GB2312" w:hAnsi="仿宋_GB2312" w:eastAsia="仿宋_GB2312" w:cs="仿宋_GB2312"/>
          <w:sz w:val="32"/>
          <w:szCs w:val="32"/>
          <w:lang w:val="en-US" w:eastAsia="zh-CN"/>
        </w:rPr>
      </w:pPr>
    </w:p>
    <w:p>
      <w:pPr>
        <w:numPr>
          <w:ilvl w:val="0"/>
          <w:numId w:val="0"/>
        </w:numPr>
        <w:ind w:firstLine="2880" w:firstLineChars="9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中共枣庄市文化和旅游局党组</w:t>
      </w:r>
    </w:p>
    <w:p>
      <w:pPr>
        <w:numPr>
          <w:ilvl w:val="0"/>
          <w:numId w:val="0"/>
        </w:numPr>
        <w:ind w:firstLine="3840" w:firstLineChars="1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2020年3月25日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9D1DDF"/>
    <w:multiLevelType w:val="singleLevel"/>
    <w:tmpl w:val="FC9D1DD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14228E"/>
    <w:rsid w:val="00CC09B7"/>
    <w:rsid w:val="01713B9B"/>
    <w:rsid w:val="078D68D3"/>
    <w:rsid w:val="0A0E5771"/>
    <w:rsid w:val="0FE14898"/>
    <w:rsid w:val="1117036C"/>
    <w:rsid w:val="14812C66"/>
    <w:rsid w:val="14B93206"/>
    <w:rsid w:val="18313E85"/>
    <w:rsid w:val="18D104E5"/>
    <w:rsid w:val="1BCC773E"/>
    <w:rsid w:val="1C8C172F"/>
    <w:rsid w:val="256310BE"/>
    <w:rsid w:val="2BAD6CB4"/>
    <w:rsid w:val="2C2823EB"/>
    <w:rsid w:val="2D17532D"/>
    <w:rsid w:val="30C43F20"/>
    <w:rsid w:val="34075369"/>
    <w:rsid w:val="358457A8"/>
    <w:rsid w:val="37F534A6"/>
    <w:rsid w:val="3DAC11C8"/>
    <w:rsid w:val="408176F4"/>
    <w:rsid w:val="41220B04"/>
    <w:rsid w:val="43DD305D"/>
    <w:rsid w:val="472D2AFF"/>
    <w:rsid w:val="48690798"/>
    <w:rsid w:val="52AC5969"/>
    <w:rsid w:val="54E826D1"/>
    <w:rsid w:val="5698688A"/>
    <w:rsid w:val="595070A2"/>
    <w:rsid w:val="5DAF2C59"/>
    <w:rsid w:val="6514228E"/>
    <w:rsid w:val="69422D18"/>
    <w:rsid w:val="71D54859"/>
    <w:rsid w:val="75581E7C"/>
    <w:rsid w:val="75A06227"/>
    <w:rsid w:val="76E17A76"/>
    <w:rsid w:val="78D9042A"/>
    <w:rsid w:val="7FE27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2020-03-24T06:40:00Z</dcterms:created>
  <dc:creator>Administrator</dc:creator>
  <cp:lastModifiedBy>Administrator</cp:lastModifiedBy>
  <cp:lastPrinted>2020-04-08T02:59:00Z</cp:lastPrinted>
  <dcterms:modified xsi:type="dcterms:W3CDTF">2020-04-14T03:05:48Z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